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sz w:val="20"/>
        </w:rPr>
      </w:pPr>
    </w:p>
    <w:p>
      <w:pPr>
        <w:pStyle w:val="7"/>
        <w:rPr>
          <w:sz w:val="20"/>
        </w:rPr>
      </w:pPr>
    </w:p>
    <w:p>
      <w:pPr>
        <w:pStyle w:val="7"/>
        <w:spacing w:before="6"/>
        <w:rPr>
          <w:sz w:val="25"/>
        </w:rPr>
      </w:pPr>
    </w:p>
    <w:p>
      <w:pPr>
        <w:spacing w:before="27"/>
        <w:ind w:left="1042" w:right="1167"/>
        <w:jc w:val="center"/>
        <w:outlineLvl w:val="0"/>
        <w:rPr>
          <w:rFonts w:ascii="黑体" w:eastAsia="黑体"/>
          <w:sz w:val="52"/>
        </w:rPr>
      </w:pPr>
      <w:r>
        <w:rPr>
          <w:rFonts w:hint="eastAsia" w:ascii="黑体" w:eastAsia="黑体"/>
          <w:sz w:val="52"/>
        </w:rPr>
        <w:t>普通高等学校本科专业设置申请表</w:t>
      </w:r>
    </w:p>
    <w:p>
      <w:pPr>
        <w:pStyle w:val="7"/>
        <w:spacing w:before="219"/>
        <w:ind w:left="956" w:right="1167"/>
        <w:jc w:val="center"/>
        <w:rPr>
          <w:rFonts w:hint="eastAsia" w:ascii="宋体" w:eastAsia="宋体"/>
          <w:spacing w:val="-21"/>
          <w:lang w:eastAsia="zh-CN"/>
        </w:rPr>
      </w:pPr>
      <w:r>
        <w:rPr>
          <w:rFonts w:hint="eastAsia" w:ascii="宋体" w:eastAsia="宋体"/>
          <w:spacing w:val="-21"/>
        </w:rPr>
        <w:t>（20</w:t>
      </w:r>
      <w:r>
        <w:rPr>
          <w:rFonts w:hint="eastAsia" w:ascii="宋体" w:eastAsia="宋体"/>
          <w:spacing w:val="-21"/>
          <w:lang w:val="en-US" w:eastAsia="zh-CN"/>
        </w:rPr>
        <w:t>20</w:t>
      </w:r>
      <w:r>
        <w:rPr>
          <w:rFonts w:hint="eastAsia" w:ascii="宋体" w:eastAsia="宋体"/>
          <w:spacing w:val="-21"/>
        </w:rPr>
        <w:t>年修订</w:t>
      </w:r>
      <w:r>
        <w:rPr>
          <w:rFonts w:hint="eastAsia" w:ascii="宋体" w:eastAsia="宋体"/>
          <w:spacing w:val="-21"/>
          <w:lang w:eastAsia="zh-CN"/>
        </w:rPr>
        <w:t>）</w:t>
      </w:r>
    </w:p>
    <w:p>
      <w:pPr>
        <w:rPr>
          <w:sz w:val="36"/>
        </w:rPr>
      </w:pPr>
    </w:p>
    <w:p>
      <w:pPr>
        <w:spacing w:before="5"/>
        <w:rPr>
          <w:sz w:val="25"/>
        </w:rPr>
      </w:pPr>
    </w:p>
    <w:p>
      <w:pPr>
        <w:pStyle w:val="7"/>
        <w:ind w:left="1658"/>
        <w:rPr>
          <w:rFonts w:ascii="宋体" w:eastAsia="宋体"/>
        </w:rPr>
      </w:pPr>
      <w:r>
        <w:rPr>
          <w:rFonts w:hint="eastAsia" w:ascii="宋体" w:eastAsia="宋体"/>
        </w:rPr>
        <w:t>校长签字：</w:t>
      </w:r>
    </w:p>
    <w:p>
      <w:pPr>
        <w:pStyle w:val="7"/>
        <w:spacing w:before="258"/>
        <w:ind w:left="1658"/>
        <w:rPr>
          <w:rFonts w:ascii="宋体" w:eastAsia="宋体"/>
        </w:rPr>
      </w:pPr>
      <w:r>
        <w:rPr>
          <w:rFonts w:hint="eastAsia" w:ascii="宋体" w:eastAsia="宋体"/>
        </w:rPr>
        <w:t>学校名称（盖章）：成都大学</w:t>
      </w:r>
    </w:p>
    <w:p>
      <w:pPr>
        <w:pStyle w:val="7"/>
        <w:spacing w:before="258"/>
        <w:ind w:left="1658"/>
        <w:rPr>
          <w:rFonts w:ascii="宋体" w:eastAsia="宋体"/>
        </w:rPr>
      </w:pPr>
      <w:r>
        <w:rPr>
          <w:rFonts w:hint="eastAsia" w:ascii="宋体" w:eastAsia="宋体"/>
        </w:rPr>
        <w:t>学校主管部门：四川省教育厅</w:t>
      </w:r>
    </w:p>
    <w:p>
      <w:pPr>
        <w:pStyle w:val="7"/>
        <w:spacing w:before="258"/>
        <w:ind w:left="1658"/>
        <w:rPr>
          <w:rFonts w:hint="eastAsia" w:ascii="宋体" w:eastAsia="宋体"/>
          <w:lang w:eastAsia="zh-CN"/>
        </w:rPr>
      </w:pPr>
      <w:r>
        <w:rPr>
          <w:rFonts w:hint="eastAsia" w:ascii="宋体" w:eastAsia="宋体"/>
        </w:rPr>
        <w:t>专业名称：酒店管理</w:t>
      </w:r>
    </w:p>
    <w:p>
      <w:pPr>
        <w:pStyle w:val="7"/>
        <w:spacing w:before="258"/>
        <w:ind w:left="1658"/>
        <w:rPr>
          <w:rFonts w:hint="eastAsia" w:ascii="宋体" w:eastAsia="宋体"/>
          <w:lang w:eastAsia="zh-CN"/>
        </w:rPr>
      </w:pPr>
      <w:r>
        <w:rPr>
          <w:rFonts w:hint="eastAsia" w:ascii="宋体" w:eastAsia="宋体"/>
        </w:rPr>
        <w:t>专业代码：120902</w:t>
      </w:r>
    </w:p>
    <w:p>
      <w:pPr>
        <w:pStyle w:val="7"/>
        <w:spacing w:before="258"/>
        <w:ind w:left="1658"/>
        <w:rPr>
          <w:rFonts w:ascii="宋体" w:eastAsia="宋体"/>
        </w:rPr>
      </w:pPr>
      <w:r>
        <w:rPr>
          <w:rFonts w:hint="eastAsia" w:ascii="宋体" w:eastAsia="宋体"/>
        </w:rPr>
        <w:t>所属学科门类及专业类：</w:t>
      </w:r>
      <w:r>
        <w:rPr>
          <w:rFonts w:hint="eastAsia" w:ascii="宋体" w:eastAsia="宋体"/>
          <w:lang w:val="en-US" w:eastAsia="zh-CN"/>
        </w:rPr>
        <w:t>管理学、</w:t>
      </w:r>
      <w:r>
        <w:rPr>
          <w:rFonts w:hint="eastAsia" w:ascii="宋体" w:eastAsia="宋体"/>
        </w:rPr>
        <w:t>旅游管理类</w:t>
      </w:r>
    </w:p>
    <w:p>
      <w:pPr>
        <w:pStyle w:val="7"/>
        <w:spacing w:before="258"/>
        <w:ind w:left="1658"/>
        <w:rPr>
          <w:rFonts w:ascii="宋体" w:eastAsia="宋体"/>
        </w:rPr>
      </w:pPr>
      <w:r>
        <w:rPr>
          <w:rFonts w:hint="eastAsia" w:ascii="宋体" w:eastAsia="宋体"/>
        </w:rPr>
        <w:t>学位授予门类：管理学</w:t>
      </w:r>
    </w:p>
    <w:p>
      <w:pPr>
        <w:pStyle w:val="7"/>
        <w:spacing w:before="258"/>
        <w:ind w:left="1658"/>
        <w:rPr>
          <w:rFonts w:ascii="宋体" w:eastAsia="宋体"/>
        </w:rPr>
      </w:pPr>
      <w:r>
        <w:rPr>
          <w:rFonts w:hint="eastAsia" w:ascii="宋体" w:eastAsia="宋体"/>
        </w:rPr>
        <w:t xml:space="preserve">修业年限：四年 </w:t>
      </w:r>
    </w:p>
    <w:p>
      <w:pPr>
        <w:pStyle w:val="7"/>
        <w:spacing w:before="258"/>
        <w:ind w:left="1658"/>
        <w:rPr>
          <w:rFonts w:ascii="宋体" w:eastAsia="宋体"/>
        </w:rPr>
      </w:pPr>
      <w:r>
        <w:rPr>
          <w:rFonts w:hint="eastAsia" w:ascii="宋体" w:eastAsia="宋体"/>
        </w:rPr>
        <w:t>申请时间：20</w:t>
      </w:r>
      <w:r>
        <w:rPr>
          <w:rFonts w:hint="eastAsia" w:ascii="宋体" w:eastAsia="宋体"/>
          <w:lang w:val="en-US" w:eastAsia="zh-CN"/>
        </w:rPr>
        <w:t>20</w:t>
      </w:r>
      <w:r>
        <w:rPr>
          <w:rFonts w:hint="eastAsia" w:ascii="宋体" w:eastAsia="宋体"/>
        </w:rPr>
        <w:t>年7月</w:t>
      </w:r>
      <w:r>
        <w:rPr>
          <w:rFonts w:hint="eastAsia" w:ascii="宋体" w:eastAsia="宋体"/>
          <w:lang w:val="en-US" w:eastAsia="zh-CN"/>
        </w:rPr>
        <w:t>12</w:t>
      </w:r>
      <w:r>
        <w:rPr>
          <w:rFonts w:hint="eastAsia" w:ascii="宋体" w:eastAsia="宋体"/>
        </w:rPr>
        <w:t xml:space="preserve">日 </w:t>
      </w:r>
    </w:p>
    <w:p>
      <w:pPr>
        <w:pStyle w:val="7"/>
        <w:spacing w:before="258"/>
        <w:ind w:left="1658"/>
        <w:rPr>
          <w:rFonts w:ascii="宋体" w:eastAsia="宋体"/>
        </w:rPr>
      </w:pPr>
      <w:r>
        <w:rPr>
          <w:rFonts w:hint="eastAsia" w:ascii="宋体" w:eastAsia="宋体"/>
        </w:rPr>
        <w:t>专业负责人：</w:t>
      </w:r>
      <w:r>
        <w:rPr>
          <w:rFonts w:hint="eastAsia" w:ascii="宋体" w:eastAsia="宋体"/>
          <w:lang w:eastAsia="zh-CN"/>
        </w:rPr>
        <w:t>诸丹</w:t>
      </w:r>
      <w:r>
        <w:rPr>
          <w:rFonts w:hint="eastAsia" w:ascii="宋体" w:eastAsia="宋体"/>
        </w:rPr>
        <w:t xml:space="preserve"> </w:t>
      </w:r>
    </w:p>
    <w:p>
      <w:pPr>
        <w:pStyle w:val="7"/>
        <w:spacing w:before="258"/>
        <w:ind w:left="1658"/>
        <w:rPr>
          <w:rFonts w:hint="default" w:ascii="宋体" w:eastAsia="宋体"/>
          <w:lang w:val="en-US" w:eastAsia="zh-CN"/>
        </w:rPr>
      </w:pPr>
      <w:r>
        <w:rPr>
          <w:rFonts w:hint="eastAsia" w:ascii="宋体" w:eastAsia="宋体"/>
        </w:rPr>
        <w:t>联系电话：</w:t>
      </w:r>
      <w:r>
        <w:rPr>
          <w:rFonts w:hint="eastAsia" w:ascii="宋体" w:eastAsia="宋体"/>
          <w:lang w:val="en-US" w:eastAsia="zh-CN"/>
        </w:rPr>
        <w:t>13881818218</w:t>
      </w:r>
    </w:p>
    <w:p>
      <w:pPr>
        <w:rPr>
          <w:sz w:val="36"/>
        </w:rPr>
      </w:pPr>
    </w:p>
    <w:p>
      <w:pPr>
        <w:spacing w:before="3"/>
        <w:rPr>
          <w:sz w:val="34"/>
        </w:rPr>
      </w:pPr>
    </w:p>
    <w:p>
      <w:pPr>
        <w:pStyle w:val="7"/>
        <w:ind w:left="912" w:right="1167"/>
        <w:jc w:val="center"/>
        <w:outlineLvl w:val="0"/>
        <w:rPr>
          <w:rFonts w:ascii="宋体" w:eastAsia="宋体"/>
        </w:rPr>
      </w:pPr>
      <w:r>
        <w:rPr>
          <w:rFonts w:hint="eastAsia" w:ascii="宋体" w:eastAsia="宋体"/>
        </w:rPr>
        <w:t>教育部制</w:t>
      </w:r>
    </w:p>
    <w:p>
      <w:pPr>
        <w:jc w:val="center"/>
        <w:sectPr>
          <w:type w:val="continuous"/>
          <w:pgSz w:w="11910" w:h="16840"/>
          <w:pgMar w:top="1320" w:right="660" w:bottom="280" w:left="1200" w:header="720" w:footer="720" w:gutter="0"/>
          <w:cols w:space="720" w:num="1"/>
        </w:sectPr>
      </w:pPr>
    </w:p>
    <w:p>
      <w:pPr>
        <w:pStyle w:val="16"/>
        <w:numPr>
          <w:ilvl w:val="0"/>
          <w:numId w:val="1"/>
        </w:numPr>
        <w:tabs>
          <w:tab w:val="left" w:pos="3996"/>
        </w:tabs>
        <w:ind w:right="255" w:hanging="3996"/>
        <w:jc w:val="left"/>
        <w:rPr>
          <w:rFonts w:ascii="黑体" w:eastAsia="黑体"/>
          <w:sz w:val="36"/>
        </w:rPr>
      </w:pPr>
      <w:r>
        <w:rPr>
          <w:rFonts w:hint="eastAsia" w:ascii="黑体" w:eastAsia="黑体"/>
          <w:sz w:val="36"/>
        </w:rPr>
        <w:t>学校基本情况</w:t>
      </w:r>
    </w:p>
    <w:p>
      <w:pPr>
        <w:pStyle w:val="7"/>
        <w:rPr>
          <w:sz w:val="20"/>
        </w:rPr>
      </w:pPr>
    </w:p>
    <w:p>
      <w:pPr>
        <w:pStyle w:val="7"/>
        <w:spacing w:before="9"/>
        <w:rPr>
          <w:sz w:val="10"/>
        </w:rPr>
      </w:pPr>
    </w:p>
    <w:tbl>
      <w:tblPr>
        <w:tblStyle w:val="15"/>
        <w:tblW w:w="9580"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58"/>
        <w:gridCol w:w="1009"/>
        <w:gridCol w:w="966"/>
        <w:gridCol w:w="838"/>
        <w:gridCol w:w="335"/>
        <w:gridCol w:w="345"/>
        <w:gridCol w:w="904"/>
        <w:gridCol w:w="861"/>
        <w:gridCol w:w="198"/>
        <w:gridCol w:w="155"/>
        <w:gridCol w:w="21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58" w:type="dxa"/>
          </w:tcPr>
          <w:p>
            <w:pPr>
              <w:pStyle w:val="17"/>
              <w:spacing w:before="79"/>
              <w:ind w:left="97" w:right="88"/>
              <w:jc w:val="center"/>
              <w:rPr>
                <w:sz w:val="24"/>
              </w:rPr>
            </w:pPr>
            <w:r>
              <w:rPr>
                <w:sz w:val="24"/>
              </w:rPr>
              <w:t>学校名称</w:t>
            </w:r>
          </w:p>
        </w:tc>
        <w:tc>
          <w:tcPr>
            <w:tcW w:w="1975" w:type="dxa"/>
            <w:gridSpan w:val="2"/>
            <w:vAlign w:val="center"/>
          </w:tcPr>
          <w:p>
            <w:pPr>
              <w:pStyle w:val="17"/>
              <w:jc w:val="center"/>
              <w:rPr>
                <w:rFonts w:ascii="Times New Roman"/>
                <w:sz w:val="24"/>
              </w:rPr>
            </w:pPr>
            <w:r>
              <w:rPr>
                <w:rFonts w:hint="eastAsia" w:ascii="Times New Roman"/>
                <w:sz w:val="24"/>
              </w:rPr>
              <w:t>成都大学</w:t>
            </w:r>
          </w:p>
        </w:tc>
        <w:tc>
          <w:tcPr>
            <w:tcW w:w="1518" w:type="dxa"/>
            <w:gridSpan w:val="3"/>
          </w:tcPr>
          <w:p>
            <w:pPr>
              <w:pStyle w:val="17"/>
              <w:spacing w:before="79"/>
              <w:ind w:left="276"/>
              <w:rPr>
                <w:sz w:val="24"/>
              </w:rPr>
            </w:pPr>
            <w:r>
              <w:rPr>
                <w:sz w:val="24"/>
              </w:rPr>
              <w:t>学校代码</w:t>
            </w:r>
          </w:p>
        </w:tc>
        <w:tc>
          <w:tcPr>
            <w:tcW w:w="4229" w:type="dxa"/>
            <w:gridSpan w:val="5"/>
            <w:vAlign w:val="center"/>
          </w:tcPr>
          <w:p>
            <w:pPr>
              <w:pStyle w:val="17"/>
              <w:jc w:val="center"/>
              <w:rPr>
                <w:rFonts w:ascii="Times New Roman"/>
                <w:sz w:val="24"/>
              </w:rPr>
            </w:pPr>
            <w:r>
              <w:rPr>
                <w:rFonts w:hint="eastAsia" w:ascii="Times New Roman"/>
                <w:sz w:val="24"/>
              </w:rPr>
              <w:t>11079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58" w:type="dxa"/>
          </w:tcPr>
          <w:p>
            <w:pPr>
              <w:pStyle w:val="17"/>
              <w:spacing w:before="79"/>
              <w:ind w:left="97" w:right="88"/>
              <w:jc w:val="center"/>
              <w:rPr>
                <w:sz w:val="24"/>
              </w:rPr>
            </w:pPr>
            <w:r>
              <w:rPr>
                <w:sz w:val="24"/>
              </w:rPr>
              <w:t>邮政编码</w:t>
            </w:r>
          </w:p>
        </w:tc>
        <w:tc>
          <w:tcPr>
            <w:tcW w:w="1975" w:type="dxa"/>
            <w:gridSpan w:val="2"/>
            <w:vAlign w:val="center"/>
          </w:tcPr>
          <w:p>
            <w:pPr>
              <w:pStyle w:val="17"/>
              <w:jc w:val="center"/>
              <w:rPr>
                <w:rFonts w:ascii="Times New Roman"/>
                <w:sz w:val="24"/>
              </w:rPr>
            </w:pPr>
            <w:r>
              <w:rPr>
                <w:rFonts w:hint="eastAsia" w:ascii="Times New Roman"/>
                <w:sz w:val="24"/>
              </w:rPr>
              <w:t>610106</w:t>
            </w:r>
          </w:p>
        </w:tc>
        <w:tc>
          <w:tcPr>
            <w:tcW w:w="1518" w:type="dxa"/>
            <w:gridSpan w:val="3"/>
          </w:tcPr>
          <w:p>
            <w:pPr>
              <w:pStyle w:val="17"/>
              <w:spacing w:before="79"/>
              <w:ind w:left="276"/>
              <w:rPr>
                <w:sz w:val="24"/>
              </w:rPr>
            </w:pPr>
            <w:r>
              <w:rPr>
                <w:sz w:val="24"/>
              </w:rPr>
              <w:t>学校网址</w:t>
            </w:r>
          </w:p>
        </w:tc>
        <w:tc>
          <w:tcPr>
            <w:tcW w:w="4229" w:type="dxa"/>
            <w:gridSpan w:val="5"/>
            <w:vAlign w:val="center"/>
          </w:tcPr>
          <w:p>
            <w:pPr>
              <w:pStyle w:val="17"/>
              <w:jc w:val="center"/>
              <w:rPr>
                <w:rFonts w:ascii="Times New Roman"/>
                <w:sz w:val="24"/>
              </w:rPr>
            </w:pPr>
            <w:r>
              <w:rPr>
                <w:rFonts w:ascii="Times New Roman"/>
                <w:sz w:val="24"/>
              </w:rPr>
              <w:t>http://www.cdu.edu.cn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858" w:type="dxa"/>
          </w:tcPr>
          <w:p>
            <w:pPr>
              <w:pStyle w:val="17"/>
              <w:spacing w:before="79" w:line="304" w:lineRule="auto"/>
              <w:ind w:left="448" w:right="437"/>
              <w:rPr>
                <w:sz w:val="24"/>
              </w:rPr>
            </w:pPr>
            <w:r>
              <w:rPr>
                <w:sz w:val="24"/>
              </w:rPr>
              <w:t>学校办学基本类型</w:t>
            </w:r>
          </w:p>
        </w:tc>
        <w:tc>
          <w:tcPr>
            <w:tcW w:w="1975" w:type="dxa"/>
            <w:gridSpan w:val="2"/>
            <w:tcBorders>
              <w:right w:val="nil"/>
            </w:tcBorders>
          </w:tcPr>
          <w:p>
            <w:pPr>
              <w:pStyle w:val="17"/>
              <w:spacing w:before="79"/>
              <w:ind w:left="107"/>
              <w:rPr>
                <w:sz w:val="24"/>
              </w:rPr>
            </w:pPr>
            <w:r>
              <w:rPr>
                <w:rFonts w:ascii="Times New Roman" w:hAnsi="Times New Roman" w:eastAsia="Times New Roman"/>
                <w:sz w:val="24"/>
              </w:rPr>
              <w:t>□</w:t>
            </w:r>
            <w:r>
              <w:rPr>
                <w:sz w:val="24"/>
              </w:rPr>
              <w:t>教育部直属院校</w:t>
            </w:r>
          </w:p>
          <w:p>
            <w:pPr>
              <w:pStyle w:val="17"/>
              <w:tabs>
                <w:tab w:val="left" w:pos="1091"/>
              </w:tabs>
              <w:spacing w:before="160"/>
              <w:ind w:left="107"/>
              <w:rPr>
                <w:sz w:val="24"/>
              </w:rPr>
            </w:pPr>
            <w:r>
              <w:rPr>
                <w:rFonts w:ascii="Times New Roman" w:hAnsi="Times New Roman" w:eastAsia="Times New Roman"/>
                <w:sz w:val="24"/>
              </w:rPr>
              <w:t>■</w:t>
            </w:r>
            <w:r>
              <w:rPr>
                <w:sz w:val="24"/>
              </w:rPr>
              <w:t>公办</w:t>
            </w:r>
            <w:r>
              <w:rPr>
                <w:sz w:val="24"/>
              </w:rPr>
              <w:tab/>
            </w:r>
            <w:r>
              <w:rPr>
                <w:rFonts w:ascii="Times New Roman" w:hAnsi="Times New Roman" w:eastAsia="Times New Roman"/>
                <w:sz w:val="24"/>
              </w:rPr>
              <w:t>□</w:t>
            </w:r>
            <w:r>
              <w:rPr>
                <w:sz w:val="24"/>
              </w:rPr>
              <w:t>民办</w:t>
            </w:r>
          </w:p>
        </w:tc>
        <w:tc>
          <w:tcPr>
            <w:tcW w:w="2422" w:type="dxa"/>
            <w:gridSpan w:val="4"/>
            <w:tcBorders>
              <w:left w:val="nil"/>
              <w:right w:val="nil"/>
            </w:tcBorders>
          </w:tcPr>
          <w:p>
            <w:pPr>
              <w:pStyle w:val="17"/>
              <w:spacing w:before="79"/>
              <w:ind w:left="321"/>
              <w:rPr>
                <w:sz w:val="24"/>
              </w:rPr>
            </w:pPr>
            <w:r>
              <w:rPr>
                <w:rFonts w:ascii="Times New Roman" w:hAnsi="Times New Roman" w:eastAsia="Times New Roman"/>
                <w:sz w:val="24"/>
              </w:rPr>
              <w:t>□</w:t>
            </w:r>
            <w:r>
              <w:rPr>
                <w:sz w:val="24"/>
              </w:rPr>
              <w:t>其他部委所属院校</w:t>
            </w:r>
          </w:p>
          <w:p>
            <w:pPr>
              <w:pStyle w:val="17"/>
              <w:spacing w:before="160"/>
              <w:ind w:left="105"/>
              <w:rPr>
                <w:sz w:val="24"/>
              </w:rPr>
            </w:pPr>
            <w:r>
              <w:rPr>
                <w:rFonts w:ascii="Times New Roman" w:hAnsi="Times New Roman" w:eastAsia="Times New Roman"/>
                <w:sz w:val="24"/>
              </w:rPr>
              <w:t>□</w:t>
            </w:r>
            <w:r>
              <w:rPr>
                <w:sz w:val="24"/>
              </w:rPr>
              <w:t>中外合作办学机构</w:t>
            </w:r>
          </w:p>
        </w:tc>
        <w:tc>
          <w:tcPr>
            <w:tcW w:w="3325" w:type="dxa"/>
            <w:gridSpan w:val="4"/>
            <w:tcBorders>
              <w:left w:val="nil"/>
            </w:tcBorders>
          </w:tcPr>
          <w:p>
            <w:pPr>
              <w:pStyle w:val="17"/>
              <w:spacing w:before="79"/>
              <w:ind w:left="326"/>
              <w:rPr>
                <w:sz w:val="24"/>
              </w:rPr>
            </w:pPr>
            <w:r>
              <w:rPr>
                <w:rFonts w:ascii="Times New Roman" w:hAnsi="Times New Roman" w:eastAsia="Times New Roman"/>
                <w:sz w:val="24"/>
              </w:rPr>
              <w:t>■</w:t>
            </w:r>
            <w:r>
              <w:rPr>
                <w:sz w:val="24"/>
              </w:rPr>
              <w:t>地方院校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858" w:type="dxa"/>
          </w:tcPr>
          <w:p>
            <w:pPr>
              <w:pStyle w:val="17"/>
              <w:spacing w:before="79"/>
              <w:ind w:left="97" w:right="88"/>
              <w:jc w:val="center"/>
              <w:rPr>
                <w:sz w:val="24"/>
              </w:rPr>
            </w:pPr>
            <w:r>
              <w:rPr>
                <w:sz w:val="24"/>
              </w:rPr>
              <w:t>现有本科</w:t>
            </w:r>
          </w:p>
          <w:p>
            <w:pPr>
              <w:pStyle w:val="17"/>
              <w:spacing w:before="160"/>
              <w:ind w:left="97" w:right="88"/>
              <w:jc w:val="center"/>
              <w:rPr>
                <w:sz w:val="24"/>
              </w:rPr>
            </w:pPr>
            <w:r>
              <w:rPr>
                <w:sz w:val="24"/>
              </w:rPr>
              <w:t>专业数</w:t>
            </w:r>
          </w:p>
        </w:tc>
        <w:tc>
          <w:tcPr>
            <w:tcW w:w="2813" w:type="dxa"/>
            <w:gridSpan w:val="3"/>
            <w:vAlign w:val="center"/>
          </w:tcPr>
          <w:p>
            <w:pPr>
              <w:pStyle w:val="17"/>
              <w:jc w:val="center"/>
              <w:rPr>
                <w:rFonts w:ascii="Times New Roman"/>
                <w:sz w:val="24"/>
              </w:rPr>
            </w:pPr>
            <w:r>
              <w:rPr>
                <w:rFonts w:hint="eastAsia" w:ascii="Times New Roman"/>
                <w:sz w:val="24"/>
              </w:rPr>
              <w:t>63</w:t>
            </w:r>
          </w:p>
        </w:tc>
        <w:tc>
          <w:tcPr>
            <w:tcW w:w="2445" w:type="dxa"/>
            <w:gridSpan w:val="4"/>
          </w:tcPr>
          <w:p>
            <w:pPr>
              <w:pStyle w:val="17"/>
              <w:spacing w:before="79"/>
              <w:ind w:left="239" w:right="236"/>
              <w:jc w:val="center"/>
              <w:rPr>
                <w:sz w:val="24"/>
              </w:rPr>
            </w:pPr>
            <w:r>
              <w:rPr>
                <w:sz w:val="24"/>
              </w:rPr>
              <w:t>上一年度全校本科</w:t>
            </w:r>
          </w:p>
          <w:p>
            <w:pPr>
              <w:pStyle w:val="17"/>
              <w:spacing w:before="160"/>
              <w:ind w:left="239" w:right="236"/>
              <w:jc w:val="center"/>
              <w:rPr>
                <w:sz w:val="24"/>
              </w:rPr>
            </w:pPr>
            <w:r>
              <w:rPr>
                <w:sz w:val="24"/>
              </w:rPr>
              <w:t>招生人数</w:t>
            </w:r>
          </w:p>
        </w:tc>
        <w:tc>
          <w:tcPr>
            <w:tcW w:w="2464" w:type="dxa"/>
            <w:gridSpan w:val="3"/>
            <w:vAlign w:val="center"/>
          </w:tcPr>
          <w:p>
            <w:pPr>
              <w:pStyle w:val="17"/>
              <w:jc w:val="center"/>
              <w:rPr>
                <w:rFonts w:ascii="Times New Roman"/>
                <w:sz w:val="24"/>
              </w:rPr>
            </w:pPr>
            <w:r>
              <w:rPr>
                <w:rFonts w:hint="eastAsia" w:ascii="Times New Roman"/>
                <w:sz w:val="24"/>
              </w:rPr>
              <w:t>5398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1858" w:type="dxa"/>
          </w:tcPr>
          <w:p>
            <w:pPr>
              <w:pStyle w:val="17"/>
              <w:spacing w:before="79"/>
              <w:ind w:left="107"/>
              <w:rPr>
                <w:sz w:val="24"/>
              </w:rPr>
            </w:pPr>
            <w:r>
              <w:rPr>
                <w:sz w:val="24"/>
              </w:rPr>
              <w:t>上一年度全校</w:t>
            </w:r>
          </w:p>
          <w:p>
            <w:pPr>
              <w:pStyle w:val="17"/>
              <w:spacing w:before="161"/>
              <w:ind w:left="107"/>
              <w:rPr>
                <w:sz w:val="24"/>
              </w:rPr>
            </w:pPr>
            <w:r>
              <w:rPr>
                <w:sz w:val="24"/>
              </w:rPr>
              <w:t>本科毕业人数</w:t>
            </w:r>
          </w:p>
        </w:tc>
        <w:tc>
          <w:tcPr>
            <w:tcW w:w="2813" w:type="dxa"/>
            <w:gridSpan w:val="3"/>
            <w:vAlign w:val="center"/>
          </w:tcPr>
          <w:p>
            <w:pPr>
              <w:pStyle w:val="17"/>
              <w:jc w:val="center"/>
              <w:rPr>
                <w:rFonts w:ascii="Times New Roman"/>
                <w:sz w:val="24"/>
              </w:rPr>
            </w:pPr>
            <w:r>
              <w:rPr>
                <w:rFonts w:hint="eastAsia" w:ascii="Times New Roman"/>
                <w:sz w:val="24"/>
              </w:rPr>
              <w:t>4789</w:t>
            </w:r>
          </w:p>
        </w:tc>
        <w:tc>
          <w:tcPr>
            <w:tcW w:w="2445" w:type="dxa"/>
            <w:gridSpan w:val="4"/>
          </w:tcPr>
          <w:p>
            <w:pPr>
              <w:pStyle w:val="17"/>
              <w:spacing w:before="7"/>
              <w:rPr>
                <w:rFonts w:ascii="黑体"/>
                <w:sz w:val="24"/>
              </w:rPr>
            </w:pPr>
          </w:p>
          <w:p>
            <w:pPr>
              <w:pStyle w:val="17"/>
              <w:ind w:left="379"/>
              <w:rPr>
                <w:sz w:val="24"/>
              </w:rPr>
            </w:pPr>
            <w:r>
              <w:rPr>
                <w:sz w:val="24"/>
              </w:rPr>
              <w:t>学校所在省市区</w:t>
            </w:r>
          </w:p>
        </w:tc>
        <w:tc>
          <w:tcPr>
            <w:tcW w:w="2464" w:type="dxa"/>
            <w:gridSpan w:val="3"/>
            <w:vAlign w:val="center"/>
          </w:tcPr>
          <w:p>
            <w:pPr>
              <w:pStyle w:val="17"/>
              <w:jc w:val="center"/>
              <w:rPr>
                <w:rFonts w:ascii="Times New Roman"/>
                <w:sz w:val="24"/>
              </w:rPr>
            </w:pPr>
            <w:r>
              <w:rPr>
                <w:rFonts w:hint="eastAsia" w:ascii="Times New Roman"/>
                <w:sz w:val="24"/>
              </w:rPr>
              <w:t>四川省成都市龙泉驿区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trPr>
        <w:tc>
          <w:tcPr>
            <w:tcW w:w="1858" w:type="dxa"/>
          </w:tcPr>
          <w:p>
            <w:pPr>
              <w:pStyle w:val="17"/>
              <w:spacing w:before="168" w:line="249" w:lineRule="auto"/>
              <w:ind w:left="448" w:right="437"/>
              <w:rPr>
                <w:sz w:val="24"/>
              </w:rPr>
            </w:pPr>
            <w:r>
              <w:rPr>
                <w:sz w:val="24"/>
              </w:rPr>
              <w:t>已有专业学科门类</w:t>
            </w:r>
          </w:p>
        </w:tc>
        <w:tc>
          <w:tcPr>
            <w:tcW w:w="1975" w:type="dxa"/>
            <w:gridSpan w:val="2"/>
            <w:tcBorders>
              <w:right w:val="nil"/>
            </w:tcBorders>
          </w:tcPr>
          <w:p>
            <w:pPr>
              <w:pStyle w:val="17"/>
              <w:tabs>
                <w:tab w:val="left" w:pos="1091"/>
              </w:tabs>
              <w:spacing w:before="81"/>
              <w:ind w:left="107"/>
              <w:rPr>
                <w:sz w:val="24"/>
              </w:rPr>
            </w:pPr>
            <w:r>
              <w:rPr>
                <w:rFonts w:ascii="Times New Roman" w:hAnsi="Times New Roman" w:eastAsia="Times New Roman"/>
                <w:sz w:val="24"/>
              </w:rPr>
              <w:t>□</w:t>
            </w:r>
            <w:r>
              <w:rPr>
                <w:sz w:val="24"/>
              </w:rPr>
              <w:t>哲学</w:t>
            </w:r>
            <w:r>
              <w:rPr>
                <w:sz w:val="24"/>
              </w:rPr>
              <w:tab/>
            </w:r>
            <w:r>
              <w:rPr>
                <w:rFonts w:ascii="Times New Roman" w:hAnsi="Times New Roman" w:eastAsia="Times New Roman"/>
                <w:sz w:val="24"/>
              </w:rPr>
              <w:t>■</w:t>
            </w:r>
            <w:r>
              <w:rPr>
                <w:sz w:val="24"/>
              </w:rPr>
              <w:t>经济学</w:t>
            </w:r>
          </w:p>
          <w:p>
            <w:pPr>
              <w:pStyle w:val="17"/>
              <w:tabs>
                <w:tab w:val="left" w:pos="1091"/>
              </w:tabs>
              <w:spacing w:before="84"/>
              <w:ind w:left="107"/>
              <w:rPr>
                <w:sz w:val="24"/>
              </w:rPr>
            </w:pPr>
            <w:r>
              <w:rPr>
                <w:rFonts w:ascii="Times New Roman" w:hAnsi="Times New Roman" w:eastAsia="Times New Roman"/>
                <w:sz w:val="24"/>
              </w:rPr>
              <w:t>■</w:t>
            </w:r>
            <w:r>
              <w:rPr>
                <w:sz w:val="24"/>
              </w:rPr>
              <w:t>理学</w:t>
            </w:r>
            <w:r>
              <w:rPr>
                <w:sz w:val="24"/>
              </w:rPr>
              <w:tab/>
            </w:r>
            <w:r>
              <w:rPr>
                <w:rFonts w:ascii="Times New Roman" w:hAnsi="Times New Roman" w:eastAsia="Times New Roman"/>
                <w:sz w:val="24"/>
              </w:rPr>
              <w:t>■</w:t>
            </w:r>
            <w:r>
              <w:rPr>
                <w:sz w:val="24"/>
              </w:rPr>
              <w:t>工学</w:t>
            </w:r>
          </w:p>
        </w:tc>
        <w:tc>
          <w:tcPr>
            <w:tcW w:w="1173" w:type="dxa"/>
            <w:gridSpan w:val="2"/>
            <w:tcBorders>
              <w:left w:val="nil"/>
              <w:right w:val="nil"/>
            </w:tcBorders>
          </w:tcPr>
          <w:p>
            <w:pPr>
              <w:pStyle w:val="17"/>
              <w:spacing w:before="81"/>
              <w:ind w:left="345"/>
              <w:rPr>
                <w:sz w:val="24"/>
              </w:rPr>
            </w:pPr>
            <w:r>
              <w:rPr>
                <w:rFonts w:ascii="Times New Roman" w:hAnsi="Times New Roman" w:eastAsia="Times New Roman"/>
                <w:sz w:val="24"/>
              </w:rPr>
              <w:t>■</w:t>
            </w:r>
            <w:r>
              <w:rPr>
                <w:sz w:val="24"/>
              </w:rPr>
              <w:t>法学</w:t>
            </w:r>
          </w:p>
          <w:p>
            <w:pPr>
              <w:pStyle w:val="17"/>
              <w:spacing w:before="84"/>
              <w:ind w:left="345"/>
              <w:rPr>
                <w:sz w:val="24"/>
              </w:rPr>
            </w:pPr>
            <w:r>
              <w:rPr>
                <w:rFonts w:ascii="Times New Roman" w:hAnsi="Times New Roman" w:eastAsia="Times New Roman"/>
                <w:sz w:val="24"/>
              </w:rPr>
              <w:t>■</w:t>
            </w:r>
            <w:r>
              <w:rPr>
                <w:sz w:val="24"/>
              </w:rPr>
              <w:t>农学</w:t>
            </w:r>
          </w:p>
        </w:tc>
        <w:tc>
          <w:tcPr>
            <w:tcW w:w="1249" w:type="dxa"/>
            <w:gridSpan w:val="2"/>
            <w:tcBorders>
              <w:left w:val="nil"/>
              <w:right w:val="nil"/>
            </w:tcBorders>
          </w:tcPr>
          <w:p>
            <w:pPr>
              <w:pStyle w:val="17"/>
              <w:spacing w:before="81"/>
              <w:ind w:left="159"/>
              <w:rPr>
                <w:sz w:val="24"/>
              </w:rPr>
            </w:pPr>
            <w:r>
              <w:rPr>
                <w:rFonts w:ascii="Times New Roman" w:hAnsi="Times New Roman" w:eastAsia="Times New Roman"/>
                <w:sz w:val="24"/>
              </w:rPr>
              <w:t>■</w:t>
            </w:r>
            <w:r>
              <w:rPr>
                <w:sz w:val="24"/>
              </w:rPr>
              <w:t>教育学</w:t>
            </w:r>
          </w:p>
          <w:p>
            <w:pPr>
              <w:pStyle w:val="17"/>
              <w:spacing w:before="84"/>
              <w:ind w:left="159"/>
              <w:rPr>
                <w:sz w:val="24"/>
              </w:rPr>
            </w:pPr>
            <w:r>
              <w:rPr>
                <w:rFonts w:ascii="Times New Roman" w:hAnsi="Times New Roman" w:eastAsia="Times New Roman"/>
                <w:sz w:val="24"/>
              </w:rPr>
              <w:t>■</w:t>
            </w:r>
            <w:r>
              <w:rPr>
                <w:sz w:val="24"/>
              </w:rPr>
              <w:t>医学</w:t>
            </w:r>
          </w:p>
        </w:tc>
        <w:tc>
          <w:tcPr>
            <w:tcW w:w="1059" w:type="dxa"/>
            <w:gridSpan w:val="2"/>
            <w:tcBorders>
              <w:left w:val="nil"/>
              <w:right w:val="nil"/>
            </w:tcBorders>
          </w:tcPr>
          <w:p>
            <w:pPr>
              <w:pStyle w:val="17"/>
              <w:spacing w:before="81"/>
              <w:ind w:left="134"/>
              <w:rPr>
                <w:sz w:val="24"/>
              </w:rPr>
            </w:pPr>
            <w:r>
              <w:rPr>
                <w:rFonts w:ascii="Times New Roman" w:hAnsi="Times New Roman" w:eastAsia="Times New Roman"/>
                <w:sz w:val="24"/>
              </w:rPr>
              <w:t>■</w:t>
            </w:r>
            <w:r>
              <w:rPr>
                <w:sz w:val="24"/>
              </w:rPr>
              <w:t>文学</w:t>
            </w:r>
          </w:p>
          <w:p>
            <w:pPr>
              <w:pStyle w:val="17"/>
              <w:spacing w:before="84"/>
              <w:ind w:left="134"/>
              <w:rPr>
                <w:sz w:val="24"/>
              </w:rPr>
            </w:pPr>
            <w:r>
              <w:rPr>
                <w:rFonts w:ascii="Times New Roman" w:hAnsi="Times New Roman" w:eastAsia="Times New Roman"/>
                <w:sz w:val="24"/>
              </w:rPr>
              <w:t>■</w:t>
            </w:r>
            <w:r>
              <w:rPr>
                <w:sz w:val="24"/>
              </w:rPr>
              <w:t>管理学</w:t>
            </w:r>
          </w:p>
        </w:tc>
        <w:tc>
          <w:tcPr>
            <w:tcW w:w="2266" w:type="dxa"/>
            <w:gridSpan w:val="2"/>
            <w:tcBorders>
              <w:left w:val="nil"/>
            </w:tcBorders>
          </w:tcPr>
          <w:p>
            <w:pPr>
              <w:pStyle w:val="17"/>
              <w:spacing w:before="81"/>
              <w:ind w:left="182"/>
              <w:rPr>
                <w:sz w:val="24"/>
              </w:rPr>
            </w:pPr>
            <w:r>
              <w:rPr>
                <w:rFonts w:ascii="Times New Roman" w:hAnsi="Times New Roman" w:eastAsia="Times New Roman"/>
                <w:spacing w:val="-1"/>
                <w:sz w:val="24"/>
              </w:rPr>
              <w:t>□</w:t>
            </w:r>
            <w:r>
              <w:rPr>
                <w:sz w:val="24"/>
              </w:rPr>
              <w:t>历史学</w:t>
            </w:r>
          </w:p>
          <w:p>
            <w:pPr>
              <w:pStyle w:val="17"/>
              <w:spacing w:before="84"/>
              <w:ind w:left="182"/>
              <w:rPr>
                <w:sz w:val="24"/>
              </w:rPr>
            </w:pPr>
            <w:r>
              <w:rPr>
                <w:rFonts w:ascii="Times New Roman" w:hAnsi="Times New Roman" w:eastAsia="Times New Roman"/>
                <w:sz w:val="24"/>
              </w:rPr>
              <w:t>■</w:t>
            </w:r>
            <w:r>
              <w:rPr>
                <w:sz w:val="24"/>
              </w:rPr>
              <w:t>艺术学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trPr>
        <w:tc>
          <w:tcPr>
            <w:tcW w:w="1858" w:type="dxa"/>
          </w:tcPr>
          <w:p>
            <w:pPr>
              <w:pStyle w:val="17"/>
              <w:spacing w:before="8"/>
              <w:rPr>
                <w:rFonts w:ascii="黑体"/>
                <w:sz w:val="25"/>
              </w:rPr>
            </w:pPr>
          </w:p>
          <w:p>
            <w:pPr>
              <w:pStyle w:val="17"/>
              <w:ind w:left="97" w:right="88"/>
              <w:jc w:val="center"/>
              <w:rPr>
                <w:sz w:val="24"/>
              </w:rPr>
            </w:pPr>
            <w:r>
              <w:rPr>
                <w:sz w:val="24"/>
              </w:rPr>
              <w:t>学校性质</w:t>
            </w:r>
          </w:p>
        </w:tc>
        <w:tc>
          <w:tcPr>
            <w:tcW w:w="1009" w:type="dxa"/>
            <w:tcBorders>
              <w:right w:val="nil"/>
            </w:tcBorders>
          </w:tcPr>
          <w:p>
            <w:pPr>
              <w:pStyle w:val="17"/>
              <w:spacing w:before="158"/>
              <w:ind w:left="107"/>
              <w:rPr>
                <w:sz w:val="24"/>
              </w:rPr>
            </w:pPr>
            <w:r>
              <w:rPr>
                <w:sz w:val="24"/>
              </w:rPr>
              <w:t>●综合</w:t>
            </w:r>
          </w:p>
          <w:p>
            <w:pPr>
              <w:pStyle w:val="17"/>
              <w:spacing w:before="4"/>
              <w:ind w:left="107"/>
              <w:rPr>
                <w:sz w:val="24"/>
              </w:rPr>
            </w:pPr>
            <w:r>
              <w:rPr>
                <w:sz w:val="24"/>
              </w:rPr>
              <w:t>○语言</w:t>
            </w:r>
          </w:p>
        </w:tc>
        <w:tc>
          <w:tcPr>
            <w:tcW w:w="966" w:type="dxa"/>
            <w:tcBorders>
              <w:left w:val="nil"/>
              <w:right w:val="nil"/>
            </w:tcBorders>
          </w:tcPr>
          <w:p>
            <w:pPr>
              <w:pStyle w:val="17"/>
              <w:spacing w:before="158"/>
              <w:ind w:left="183"/>
              <w:rPr>
                <w:sz w:val="24"/>
              </w:rPr>
            </w:pPr>
            <w:r>
              <w:rPr>
                <w:sz w:val="24"/>
              </w:rPr>
              <w:t>○理工</w:t>
            </w:r>
          </w:p>
          <w:p>
            <w:pPr>
              <w:pStyle w:val="17"/>
              <w:spacing w:before="4"/>
              <w:ind w:left="183"/>
              <w:rPr>
                <w:sz w:val="24"/>
              </w:rPr>
            </w:pPr>
            <w:r>
              <w:rPr>
                <w:sz w:val="24"/>
              </w:rPr>
              <w:t>○财经</w:t>
            </w:r>
          </w:p>
        </w:tc>
        <w:tc>
          <w:tcPr>
            <w:tcW w:w="1173" w:type="dxa"/>
            <w:gridSpan w:val="2"/>
            <w:tcBorders>
              <w:left w:val="nil"/>
              <w:right w:val="nil"/>
            </w:tcBorders>
          </w:tcPr>
          <w:p>
            <w:pPr>
              <w:pStyle w:val="17"/>
              <w:spacing w:before="158"/>
              <w:ind w:left="297"/>
              <w:rPr>
                <w:sz w:val="24"/>
              </w:rPr>
            </w:pPr>
            <w:r>
              <w:rPr>
                <w:sz w:val="24"/>
              </w:rPr>
              <w:t>○农业</w:t>
            </w:r>
          </w:p>
          <w:p>
            <w:pPr>
              <w:pStyle w:val="17"/>
              <w:spacing w:before="4"/>
              <w:ind w:left="297"/>
              <w:rPr>
                <w:sz w:val="24"/>
              </w:rPr>
            </w:pPr>
            <w:r>
              <w:rPr>
                <w:sz w:val="24"/>
              </w:rPr>
              <w:t>○政法</w:t>
            </w:r>
          </w:p>
        </w:tc>
        <w:tc>
          <w:tcPr>
            <w:tcW w:w="1249" w:type="dxa"/>
            <w:gridSpan w:val="2"/>
            <w:tcBorders>
              <w:left w:val="nil"/>
              <w:right w:val="nil"/>
            </w:tcBorders>
          </w:tcPr>
          <w:p>
            <w:pPr>
              <w:pStyle w:val="17"/>
              <w:spacing w:before="158"/>
              <w:ind w:left="205"/>
              <w:rPr>
                <w:sz w:val="24"/>
              </w:rPr>
            </w:pPr>
            <w:r>
              <w:rPr>
                <w:sz w:val="24"/>
              </w:rPr>
              <w:t>○林业</w:t>
            </w:r>
          </w:p>
          <w:p>
            <w:pPr>
              <w:pStyle w:val="17"/>
              <w:spacing w:before="4"/>
              <w:ind w:left="205"/>
              <w:rPr>
                <w:sz w:val="24"/>
              </w:rPr>
            </w:pPr>
            <w:r>
              <w:rPr>
                <w:sz w:val="24"/>
              </w:rPr>
              <w:t>○体育</w:t>
            </w:r>
          </w:p>
        </w:tc>
        <w:tc>
          <w:tcPr>
            <w:tcW w:w="1059" w:type="dxa"/>
            <w:gridSpan w:val="2"/>
            <w:tcBorders>
              <w:left w:val="nil"/>
              <w:right w:val="nil"/>
            </w:tcBorders>
          </w:tcPr>
          <w:p>
            <w:pPr>
              <w:pStyle w:val="17"/>
              <w:spacing w:before="158"/>
              <w:ind w:left="36"/>
              <w:rPr>
                <w:sz w:val="24"/>
              </w:rPr>
            </w:pPr>
            <w:r>
              <w:rPr>
                <w:sz w:val="24"/>
              </w:rPr>
              <w:t>○医药</w:t>
            </w:r>
          </w:p>
          <w:p>
            <w:pPr>
              <w:pStyle w:val="17"/>
              <w:spacing w:before="4"/>
              <w:ind w:left="36"/>
              <w:rPr>
                <w:sz w:val="24"/>
              </w:rPr>
            </w:pPr>
            <w:r>
              <w:rPr>
                <w:sz w:val="24"/>
              </w:rPr>
              <w:t>○艺术</w:t>
            </w:r>
          </w:p>
        </w:tc>
        <w:tc>
          <w:tcPr>
            <w:tcW w:w="2266" w:type="dxa"/>
            <w:gridSpan w:val="2"/>
            <w:tcBorders>
              <w:left w:val="nil"/>
            </w:tcBorders>
          </w:tcPr>
          <w:p>
            <w:pPr>
              <w:pStyle w:val="17"/>
              <w:spacing w:before="158"/>
              <w:ind w:left="57"/>
              <w:rPr>
                <w:sz w:val="24"/>
              </w:rPr>
            </w:pPr>
            <w:r>
              <w:rPr>
                <w:sz w:val="24"/>
              </w:rPr>
              <w:t>○师范</w:t>
            </w:r>
          </w:p>
          <w:p>
            <w:pPr>
              <w:pStyle w:val="17"/>
              <w:spacing w:before="4"/>
              <w:ind w:left="57"/>
              <w:rPr>
                <w:sz w:val="24"/>
              </w:rPr>
            </w:pPr>
            <w:r>
              <w:rPr>
                <w:sz w:val="24"/>
              </w:rPr>
              <w:t>○民族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1858" w:type="dxa"/>
          </w:tcPr>
          <w:p>
            <w:pPr>
              <w:pStyle w:val="17"/>
              <w:spacing w:before="40" w:line="304" w:lineRule="auto"/>
              <w:ind w:left="688" w:right="437" w:hanging="240"/>
              <w:rPr>
                <w:sz w:val="24"/>
              </w:rPr>
            </w:pPr>
            <w:r>
              <w:rPr>
                <w:sz w:val="24"/>
              </w:rPr>
              <w:t>专任教师总数</w:t>
            </w:r>
          </w:p>
        </w:tc>
        <w:tc>
          <w:tcPr>
            <w:tcW w:w="2813" w:type="dxa"/>
            <w:gridSpan w:val="3"/>
            <w:vAlign w:val="center"/>
          </w:tcPr>
          <w:p>
            <w:pPr>
              <w:pStyle w:val="17"/>
              <w:jc w:val="center"/>
              <w:rPr>
                <w:rFonts w:ascii="Times New Roman"/>
                <w:sz w:val="24"/>
              </w:rPr>
            </w:pPr>
            <w:r>
              <w:rPr>
                <w:rFonts w:hint="eastAsia" w:ascii="Times New Roman"/>
                <w:sz w:val="24"/>
              </w:rPr>
              <w:t>1403</w:t>
            </w:r>
          </w:p>
        </w:tc>
        <w:tc>
          <w:tcPr>
            <w:tcW w:w="2798" w:type="dxa"/>
            <w:gridSpan w:val="6"/>
          </w:tcPr>
          <w:p>
            <w:pPr>
              <w:pStyle w:val="17"/>
              <w:spacing w:before="127" w:line="249" w:lineRule="auto"/>
              <w:ind w:left="674" w:right="191" w:hanging="480"/>
              <w:rPr>
                <w:sz w:val="24"/>
              </w:rPr>
            </w:pPr>
            <w:r>
              <w:rPr>
                <w:sz w:val="24"/>
              </w:rPr>
              <w:t>专任教师中副教授及以上职称教师数</w:t>
            </w:r>
          </w:p>
        </w:tc>
        <w:tc>
          <w:tcPr>
            <w:tcW w:w="2111" w:type="dxa"/>
            <w:vAlign w:val="center"/>
          </w:tcPr>
          <w:p>
            <w:pPr>
              <w:pStyle w:val="17"/>
              <w:jc w:val="center"/>
              <w:rPr>
                <w:rFonts w:ascii="Times New Roman"/>
                <w:sz w:val="24"/>
              </w:rPr>
            </w:pPr>
            <w:r>
              <w:rPr>
                <w:rFonts w:hint="eastAsia" w:ascii="Times New Roman"/>
                <w:sz w:val="24"/>
              </w:rPr>
              <w:t>656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6" w:hRule="atLeast"/>
        </w:trPr>
        <w:tc>
          <w:tcPr>
            <w:tcW w:w="1858" w:type="dxa"/>
          </w:tcPr>
          <w:p>
            <w:pPr>
              <w:pStyle w:val="17"/>
              <w:spacing w:before="4"/>
              <w:rPr>
                <w:rFonts w:ascii="黑体"/>
                <w:sz w:val="21"/>
              </w:rPr>
            </w:pPr>
          </w:p>
          <w:p>
            <w:pPr>
              <w:pStyle w:val="17"/>
              <w:ind w:left="97" w:right="88"/>
              <w:jc w:val="center"/>
              <w:rPr>
                <w:sz w:val="24"/>
              </w:rPr>
            </w:pPr>
            <w:r>
              <w:rPr>
                <w:sz w:val="24"/>
              </w:rPr>
              <w:t>学校主管部门</w:t>
            </w:r>
          </w:p>
        </w:tc>
        <w:tc>
          <w:tcPr>
            <w:tcW w:w="2813" w:type="dxa"/>
            <w:gridSpan w:val="3"/>
            <w:vAlign w:val="center"/>
          </w:tcPr>
          <w:p>
            <w:pPr>
              <w:pStyle w:val="17"/>
              <w:jc w:val="center"/>
              <w:rPr>
                <w:rFonts w:ascii="Times New Roman"/>
                <w:sz w:val="24"/>
              </w:rPr>
            </w:pPr>
            <w:r>
              <w:rPr>
                <w:rFonts w:hint="eastAsia" w:ascii="Times New Roman"/>
                <w:sz w:val="24"/>
              </w:rPr>
              <w:t>四川省教育厅</w:t>
            </w:r>
          </w:p>
        </w:tc>
        <w:tc>
          <w:tcPr>
            <w:tcW w:w="2798" w:type="dxa"/>
            <w:gridSpan w:val="6"/>
          </w:tcPr>
          <w:p>
            <w:pPr>
              <w:pStyle w:val="17"/>
              <w:spacing w:before="3"/>
              <w:rPr>
                <w:rFonts w:ascii="黑体"/>
              </w:rPr>
            </w:pPr>
          </w:p>
          <w:p>
            <w:pPr>
              <w:pStyle w:val="17"/>
              <w:ind w:left="914"/>
              <w:rPr>
                <w:sz w:val="24"/>
              </w:rPr>
            </w:pPr>
            <w:r>
              <w:rPr>
                <w:sz w:val="24"/>
              </w:rPr>
              <w:t>建校时间</w:t>
            </w:r>
          </w:p>
        </w:tc>
        <w:tc>
          <w:tcPr>
            <w:tcW w:w="2111" w:type="dxa"/>
            <w:vAlign w:val="center"/>
          </w:tcPr>
          <w:p>
            <w:pPr>
              <w:pStyle w:val="17"/>
              <w:jc w:val="center"/>
              <w:rPr>
                <w:rFonts w:ascii="Times New Roman"/>
                <w:sz w:val="24"/>
              </w:rPr>
            </w:pPr>
            <w:r>
              <w:rPr>
                <w:rFonts w:hint="eastAsia" w:ascii="Times New Roman"/>
                <w:sz w:val="24"/>
              </w:rPr>
              <w:t>1978年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1858" w:type="dxa"/>
          </w:tcPr>
          <w:p>
            <w:pPr>
              <w:pStyle w:val="17"/>
              <w:spacing w:before="117" w:line="242" w:lineRule="auto"/>
              <w:ind w:left="448" w:right="197" w:hanging="240"/>
              <w:rPr>
                <w:sz w:val="24"/>
              </w:rPr>
            </w:pPr>
            <w:r>
              <w:rPr>
                <w:sz w:val="24"/>
              </w:rPr>
              <w:t>首次举办本科教育年份</w:t>
            </w:r>
          </w:p>
        </w:tc>
        <w:tc>
          <w:tcPr>
            <w:tcW w:w="7722" w:type="dxa"/>
            <w:gridSpan w:val="10"/>
          </w:tcPr>
          <w:p>
            <w:pPr>
              <w:pStyle w:val="17"/>
              <w:jc w:val="center"/>
              <w:rPr>
                <w:rFonts w:ascii="Times New Roman"/>
                <w:sz w:val="24"/>
              </w:rPr>
            </w:pPr>
          </w:p>
          <w:p>
            <w:pPr>
              <w:pStyle w:val="17"/>
              <w:jc w:val="center"/>
              <w:rPr>
                <w:rFonts w:ascii="Times New Roman"/>
                <w:sz w:val="24"/>
              </w:rPr>
            </w:pPr>
            <w:r>
              <w:rPr>
                <w:rFonts w:hint="eastAsia" w:ascii="Times New Roman"/>
                <w:sz w:val="24"/>
              </w:rPr>
              <w:t>1978年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1858" w:type="dxa"/>
          </w:tcPr>
          <w:p>
            <w:pPr>
              <w:pStyle w:val="17"/>
              <w:spacing w:before="4"/>
              <w:rPr>
                <w:rFonts w:ascii="黑体"/>
                <w:sz w:val="21"/>
              </w:rPr>
            </w:pPr>
          </w:p>
          <w:p>
            <w:pPr>
              <w:pStyle w:val="17"/>
              <w:ind w:left="97" w:right="88"/>
              <w:jc w:val="center"/>
              <w:rPr>
                <w:sz w:val="24"/>
              </w:rPr>
            </w:pPr>
            <w:r>
              <w:rPr>
                <w:sz w:val="24"/>
              </w:rPr>
              <w:t>曾用名</w:t>
            </w:r>
          </w:p>
        </w:tc>
        <w:tc>
          <w:tcPr>
            <w:tcW w:w="7722" w:type="dxa"/>
            <w:gridSpan w:val="10"/>
          </w:tcPr>
          <w:p>
            <w:pPr>
              <w:pStyle w:val="17"/>
              <w:jc w:val="center"/>
              <w:rPr>
                <w:rFonts w:ascii="Times New Roman"/>
                <w:sz w:val="24"/>
              </w:rPr>
            </w:pPr>
          </w:p>
          <w:p>
            <w:pPr>
              <w:pStyle w:val="17"/>
              <w:jc w:val="center"/>
              <w:rPr>
                <w:rFonts w:ascii="Times New Roman"/>
                <w:sz w:val="24"/>
              </w:rPr>
            </w:pPr>
            <w:r>
              <w:rPr>
                <w:rFonts w:hint="eastAsia" w:ascii="Times New Roman"/>
                <w:sz w:val="24"/>
              </w:rPr>
              <w:t>成都学院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7" w:hRule="atLeast"/>
        </w:trPr>
        <w:tc>
          <w:tcPr>
            <w:tcW w:w="1858" w:type="dxa"/>
          </w:tcPr>
          <w:p>
            <w:pPr>
              <w:pStyle w:val="17"/>
              <w:spacing w:before="215" w:line="364" w:lineRule="auto"/>
              <w:ind w:left="328" w:right="317"/>
              <w:jc w:val="center"/>
              <w:rPr>
                <w:sz w:val="24"/>
              </w:rPr>
            </w:pPr>
            <w:r>
              <w:rPr>
                <w:sz w:val="24"/>
              </w:rPr>
              <w:t>学校简介和历史沿革</w:t>
            </w:r>
          </w:p>
          <w:p>
            <w:pPr>
              <w:pStyle w:val="17"/>
              <w:spacing w:before="2"/>
              <w:ind w:left="97" w:right="91"/>
              <w:jc w:val="center"/>
              <w:rPr>
                <w:sz w:val="24"/>
              </w:rPr>
            </w:pPr>
            <w:r>
              <w:rPr>
                <w:sz w:val="24"/>
              </w:rPr>
              <w:t>（</w:t>
            </w:r>
            <w:r>
              <w:rPr>
                <w:rFonts w:ascii="Times New Roman" w:eastAsia="Times New Roman"/>
                <w:sz w:val="24"/>
              </w:rPr>
              <w:t xml:space="preserve">300 </w:t>
            </w:r>
            <w:r>
              <w:rPr>
                <w:sz w:val="24"/>
              </w:rPr>
              <w:t>字以内）</w:t>
            </w:r>
          </w:p>
        </w:tc>
        <w:tc>
          <w:tcPr>
            <w:tcW w:w="7722" w:type="dxa"/>
            <w:gridSpan w:val="10"/>
            <w:vAlign w:val="top"/>
          </w:tcPr>
          <w:p>
            <w:pPr>
              <w:pStyle w:val="17"/>
              <w:ind w:firstLine="480" w:firstLineChars="200"/>
              <w:jc w:val="both"/>
              <w:rPr>
                <w:rFonts w:ascii="Times New Roman"/>
                <w:sz w:val="24"/>
              </w:rPr>
            </w:pPr>
            <w:r>
              <w:rPr>
                <w:rFonts w:hint="eastAsia" w:ascii="Times New Roman"/>
                <w:sz w:val="24"/>
              </w:rPr>
              <w:t>成都大学1978年经教育部批准设立，是四川省和成都市共建的综合性大学，成都市重点建设的综合性大学，拥有百年历史的三级甲等综合附属医院，国家级抗生素研发基地的四川抗菌素工业研究所。具有学士、硕士学位授予权，设有博士后实践基地。是教育部“卓越工程师教育培养计划”高校、教育部国防教育特色高校、四川省博士学位授权立项建设单位。</w:t>
            </w:r>
          </w:p>
          <w:p>
            <w:pPr>
              <w:pStyle w:val="17"/>
              <w:ind w:firstLine="480" w:firstLineChars="200"/>
              <w:rPr>
                <w:rFonts w:ascii="Times New Roman" w:hAnsi="宋体" w:eastAsia="宋体" w:cs="宋体"/>
                <w:sz w:val="24"/>
                <w:szCs w:val="22"/>
                <w:lang w:val="zh-CN" w:eastAsia="zh-CN" w:bidi="zh-CN"/>
              </w:rPr>
            </w:pPr>
            <w:r>
              <w:rPr>
                <w:rFonts w:hint="eastAsia" w:ascii="Times New Roman"/>
                <w:sz w:val="24"/>
              </w:rPr>
              <w:t>建校40年来，学校扎根成都、立足四川、服务全国、面向世界，紧随国家及区域特别是成都重大发展战略，锐意改革，快速发展。围绕高水平城市型综合大学办学定位，实施“人才战略、特色战略和国际化战略”，着力“校城融合、开放协同、区域应用”的人才培养特色，学校已为国家的经济建设和社会发展培养了十五余万各类人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858" w:type="dxa"/>
          </w:tcPr>
          <w:p>
            <w:pPr>
              <w:pStyle w:val="17"/>
              <w:spacing w:before="79" w:line="364" w:lineRule="auto"/>
              <w:ind w:left="107" w:right="58" w:hanging="39"/>
              <w:jc w:val="center"/>
              <w:rPr>
                <w:rFonts w:ascii="Times New Roman" w:eastAsia="Times New Roman"/>
                <w:sz w:val="24"/>
              </w:rPr>
            </w:pPr>
            <w:r>
              <w:rPr>
                <w:sz w:val="24"/>
              </w:rPr>
              <w:t xml:space="preserve">学校近五年专 </w:t>
            </w:r>
            <w:r>
              <w:rPr>
                <w:spacing w:val="-3"/>
                <w:sz w:val="24"/>
              </w:rPr>
              <w:t>业增设、停招、</w:t>
            </w:r>
            <w:r>
              <w:rPr>
                <w:sz w:val="24"/>
              </w:rPr>
              <w:t>撤并情况（</w:t>
            </w:r>
            <w:r>
              <w:rPr>
                <w:rFonts w:ascii="Times New Roman" w:eastAsia="Times New Roman"/>
                <w:sz w:val="24"/>
              </w:rPr>
              <w:t>300</w:t>
            </w:r>
          </w:p>
          <w:p>
            <w:pPr>
              <w:pStyle w:val="17"/>
              <w:spacing w:before="2"/>
              <w:ind w:left="97" w:right="88"/>
              <w:jc w:val="center"/>
              <w:rPr>
                <w:sz w:val="24"/>
              </w:rPr>
            </w:pPr>
            <w:r>
              <w:rPr>
                <w:sz w:val="24"/>
              </w:rPr>
              <w:t>字以内）</w:t>
            </w:r>
          </w:p>
        </w:tc>
        <w:tc>
          <w:tcPr>
            <w:tcW w:w="7722" w:type="dxa"/>
            <w:gridSpan w:val="10"/>
            <w:vAlign w:val="top"/>
          </w:tcPr>
          <w:p>
            <w:pPr>
              <w:spacing w:line="220" w:lineRule="atLeast"/>
              <w:ind w:firstLine="480" w:firstLineChars="200"/>
            </w:pPr>
            <w:r>
              <w:rPr>
                <w:rFonts w:hint="eastAsia" w:ascii="Times New Roman"/>
                <w:sz w:val="24"/>
              </w:rPr>
              <w:t>为</w:t>
            </w:r>
            <w:r>
              <w:rPr>
                <w:rFonts w:ascii="Times New Roman"/>
                <w:sz w:val="24"/>
              </w:rPr>
              <w:t>适应区域经济人才发展需求，学校建立了专业动态调整机制。</w:t>
            </w:r>
            <w:r>
              <w:rPr>
                <w:rFonts w:hint="eastAsia" w:ascii="Times New Roman"/>
                <w:sz w:val="24"/>
              </w:rPr>
              <w:t>近五年</w:t>
            </w:r>
            <w:r>
              <w:rPr>
                <w:rFonts w:ascii="Times New Roman"/>
                <w:sz w:val="24"/>
              </w:rPr>
              <w:t>，学校先后新增</w:t>
            </w:r>
            <w:r>
              <w:rPr>
                <w:rFonts w:hint="eastAsia" w:ascii="Times New Roman"/>
                <w:sz w:val="24"/>
              </w:rPr>
              <w:t>物联网工程、审计学、建筑学、网络与新媒体、口腔医学技术、社会工作、数据科学与大数据技术、舞蹈表演、思想政治教育等9个</w:t>
            </w:r>
            <w:r>
              <w:rPr>
                <w:rFonts w:ascii="Times New Roman"/>
                <w:sz w:val="24"/>
              </w:rPr>
              <w:t>专业，撤销园林专业</w:t>
            </w:r>
            <w:r>
              <w:rPr>
                <w:rFonts w:hint="eastAsia" w:ascii="Times New Roman"/>
                <w:sz w:val="24"/>
              </w:rPr>
              <w:t>，2014年-2020年停招艺术教育专业，2015年-2017年停招网络工程专业，2020年停招信息与计算科学专业。</w:t>
            </w:r>
          </w:p>
          <w:p>
            <w:pPr>
              <w:pStyle w:val="17"/>
              <w:rPr>
                <w:rFonts w:ascii="Times New Roman" w:hAnsi="宋体" w:eastAsia="宋体" w:cs="宋体"/>
                <w:sz w:val="24"/>
                <w:szCs w:val="22"/>
                <w:lang w:val="zh-CN" w:eastAsia="zh-CN" w:bidi="zh-CN"/>
              </w:rPr>
            </w:pPr>
          </w:p>
        </w:tc>
      </w:tr>
    </w:tbl>
    <w:p>
      <w:pPr>
        <w:rPr>
          <w:rFonts w:ascii="Times New Roman"/>
          <w:sz w:val="24"/>
        </w:rPr>
        <w:sectPr>
          <w:pgSz w:w="11910" w:h="16840"/>
          <w:pgMar w:top="1320" w:right="660" w:bottom="280" w:left="1200" w:header="720" w:footer="720" w:gutter="0"/>
          <w:cols w:space="720" w:num="1"/>
        </w:sectPr>
      </w:pPr>
    </w:p>
    <w:p>
      <w:pPr>
        <w:pStyle w:val="16"/>
        <w:numPr>
          <w:ilvl w:val="0"/>
          <w:numId w:val="1"/>
        </w:numPr>
        <w:tabs>
          <w:tab w:val="left" w:pos="3636"/>
        </w:tabs>
        <w:ind w:left="3635" w:right="254" w:hanging="3636"/>
        <w:jc w:val="left"/>
        <w:rPr>
          <w:rFonts w:ascii="黑体" w:eastAsia="黑体"/>
          <w:sz w:val="36"/>
        </w:rPr>
      </w:pPr>
      <w:r>
        <w:rPr>
          <w:rFonts w:hint="eastAsia" w:ascii="黑体" w:eastAsia="黑体"/>
          <w:sz w:val="36"/>
        </w:rPr>
        <w:t>申报专业基本情况</w:t>
      </w:r>
    </w:p>
    <w:p>
      <w:pPr>
        <w:pStyle w:val="7"/>
        <w:spacing w:before="4"/>
        <w:rPr>
          <w:sz w:val="6"/>
        </w:rPr>
      </w:pPr>
    </w:p>
    <w:tbl>
      <w:tblPr>
        <w:tblStyle w:val="15"/>
        <w:tblW w:w="9568"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93"/>
        <w:gridCol w:w="2390"/>
        <w:gridCol w:w="1986"/>
        <w:gridCol w:w="405"/>
        <w:gridCol w:w="23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pPr>
              <w:pStyle w:val="17"/>
              <w:spacing w:before="16" w:line="282" w:lineRule="exact"/>
              <w:ind w:left="94" w:right="88"/>
              <w:jc w:val="center"/>
              <w:rPr>
                <w:sz w:val="24"/>
              </w:rPr>
            </w:pPr>
            <w:r>
              <w:rPr>
                <w:sz w:val="24"/>
              </w:rPr>
              <w:t>专业代码</w:t>
            </w:r>
          </w:p>
        </w:tc>
        <w:tc>
          <w:tcPr>
            <w:tcW w:w="2390" w:type="dxa"/>
          </w:tcPr>
          <w:p>
            <w:pPr>
              <w:pStyle w:val="17"/>
              <w:rPr>
                <w:rFonts w:ascii="Times New Roman"/>
                <w:sz w:val="24"/>
              </w:rPr>
            </w:pPr>
            <w:r>
              <w:rPr>
                <w:rFonts w:hint="eastAsia" w:ascii="Times New Roman"/>
                <w:sz w:val="24"/>
              </w:rPr>
              <w:t>120902</w:t>
            </w:r>
          </w:p>
        </w:tc>
        <w:tc>
          <w:tcPr>
            <w:tcW w:w="2391" w:type="dxa"/>
            <w:gridSpan w:val="2"/>
          </w:tcPr>
          <w:p>
            <w:pPr>
              <w:pStyle w:val="17"/>
              <w:spacing w:before="16" w:line="282" w:lineRule="exact"/>
              <w:ind w:left="716"/>
              <w:rPr>
                <w:sz w:val="24"/>
              </w:rPr>
            </w:pPr>
            <w:r>
              <w:rPr>
                <w:sz w:val="24"/>
              </w:rPr>
              <w:t>专业名称</w:t>
            </w:r>
          </w:p>
        </w:tc>
        <w:tc>
          <w:tcPr>
            <w:tcW w:w="2394" w:type="dxa"/>
          </w:tcPr>
          <w:p>
            <w:pPr>
              <w:pStyle w:val="17"/>
              <w:rPr>
                <w:rFonts w:ascii="Times New Roman"/>
                <w:sz w:val="24"/>
              </w:rPr>
            </w:pPr>
            <w:r>
              <w:rPr>
                <w:rFonts w:hint="eastAsia" w:ascii="Times New Roman"/>
                <w:sz w:val="24"/>
              </w:rPr>
              <w:t>酒店管理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393" w:type="dxa"/>
          </w:tcPr>
          <w:p>
            <w:pPr>
              <w:pStyle w:val="17"/>
              <w:spacing w:before="16" w:line="285" w:lineRule="exact"/>
              <w:ind w:left="94" w:right="88"/>
              <w:jc w:val="center"/>
              <w:rPr>
                <w:sz w:val="24"/>
              </w:rPr>
            </w:pPr>
            <w:r>
              <w:rPr>
                <w:sz w:val="24"/>
              </w:rPr>
              <w:t>学位</w:t>
            </w:r>
          </w:p>
        </w:tc>
        <w:tc>
          <w:tcPr>
            <w:tcW w:w="2390" w:type="dxa"/>
          </w:tcPr>
          <w:p>
            <w:pPr>
              <w:pStyle w:val="17"/>
              <w:rPr>
                <w:rFonts w:ascii="Times New Roman"/>
                <w:sz w:val="24"/>
              </w:rPr>
            </w:pPr>
            <w:r>
              <w:rPr>
                <w:rFonts w:hint="eastAsia" w:ascii="Times New Roman"/>
                <w:sz w:val="24"/>
              </w:rPr>
              <w:t>管理学学士学位</w:t>
            </w:r>
          </w:p>
        </w:tc>
        <w:tc>
          <w:tcPr>
            <w:tcW w:w="2391" w:type="dxa"/>
            <w:gridSpan w:val="2"/>
          </w:tcPr>
          <w:p>
            <w:pPr>
              <w:pStyle w:val="17"/>
              <w:spacing w:before="16" w:line="285" w:lineRule="exact"/>
              <w:ind w:left="716"/>
              <w:rPr>
                <w:sz w:val="24"/>
              </w:rPr>
            </w:pPr>
            <w:r>
              <w:rPr>
                <w:sz w:val="24"/>
              </w:rPr>
              <w:t>修业年限</w:t>
            </w:r>
          </w:p>
        </w:tc>
        <w:tc>
          <w:tcPr>
            <w:tcW w:w="2394" w:type="dxa"/>
          </w:tcPr>
          <w:p>
            <w:pPr>
              <w:pStyle w:val="17"/>
              <w:rPr>
                <w:rFonts w:ascii="Times New Roman"/>
                <w:sz w:val="24"/>
              </w:rPr>
            </w:pPr>
            <w:r>
              <w:rPr>
                <w:rFonts w:hint="eastAsia" w:ascii="Times New Roman"/>
                <w:sz w:val="24"/>
              </w:rPr>
              <w:t>四年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pPr>
              <w:pStyle w:val="17"/>
              <w:spacing w:before="16" w:line="282" w:lineRule="exact"/>
              <w:ind w:left="94" w:right="88"/>
              <w:jc w:val="center"/>
              <w:rPr>
                <w:sz w:val="24"/>
              </w:rPr>
            </w:pPr>
            <w:r>
              <w:rPr>
                <w:sz w:val="24"/>
              </w:rPr>
              <w:t>专业类</w:t>
            </w:r>
          </w:p>
        </w:tc>
        <w:tc>
          <w:tcPr>
            <w:tcW w:w="2390" w:type="dxa"/>
          </w:tcPr>
          <w:p>
            <w:pPr>
              <w:pStyle w:val="17"/>
              <w:rPr>
                <w:rFonts w:ascii="Times New Roman"/>
                <w:sz w:val="24"/>
              </w:rPr>
            </w:pPr>
            <w:r>
              <w:rPr>
                <w:rFonts w:hint="eastAsia" w:ascii="Times New Roman"/>
                <w:sz w:val="24"/>
              </w:rPr>
              <w:t>旅游管理类</w:t>
            </w:r>
          </w:p>
        </w:tc>
        <w:tc>
          <w:tcPr>
            <w:tcW w:w="2391" w:type="dxa"/>
            <w:gridSpan w:val="2"/>
          </w:tcPr>
          <w:p>
            <w:pPr>
              <w:pStyle w:val="17"/>
              <w:spacing w:before="16" w:line="282" w:lineRule="exact"/>
              <w:ind w:left="596"/>
              <w:rPr>
                <w:sz w:val="24"/>
              </w:rPr>
            </w:pPr>
            <w:r>
              <w:rPr>
                <w:sz w:val="24"/>
              </w:rPr>
              <w:t>专业类代码</w:t>
            </w:r>
          </w:p>
        </w:tc>
        <w:tc>
          <w:tcPr>
            <w:tcW w:w="2394" w:type="dxa"/>
          </w:tcPr>
          <w:p>
            <w:pPr>
              <w:pStyle w:val="17"/>
              <w:rPr>
                <w:rFonts w:ascii="Times New Roman"/>
                <w:sz w:val="24"/>
              </w:rPr>
            </w:pPr>
            <w:r>
              <w:rPr>
                <w:rFonts w:hint="eastAsia" w:ascii="Times New Roman"/>
                <w:sz w:val="24"/>
              </w:rPr>
              <w:t>1209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393" w:type="dxa"/>
          </w:tcPr>
          <w:p>
            <w:pPr>
              <w:pStyle w:val="17"/>
              <w:spacing w:before="16" w:line="285" w:lineRule="exact"/>
              <w:ind w:left="94" w:right="88"/>
              <w:jc w:val="center"/>
              <w:rPr>
                <w:sz w:val="24"/>
              </w:rPr>
            </w:pPr>
            <w:r>
              <w:rPr>
                <w:sz w:val="24"/>
              </w:rPr>
              <w:t>门类</w:t>
            </w:r>
          </w:p>
        </w:tc>
        <w:tc>
          <w:tcPr>
            <w:tcW w:w="2390" w:type="dxa"/>
          </w:tcPr>
          <w:p>
            <w:pPr>
              <w:pStyle w:val="17"/>
              <w:rPr>
                <w:rFonts w:ascii="Times New Roman"/>
                <w:sz w:val="24"/>
              </w:rPr>
            </w:pPr>
            <w:r>
              <w:rPr>
                <w:rFonts w:hint="eastAsia" w:ascii="Times New Roman"/>
                <w:sz w:val="24"/>
              </w:rPr>
              <w:t>管理学</w:t>
            </w:r>
          </w:p>
        </w:tc>
        <w:tc>
          <w:tcPr>
            <w:tcW w:w="2391" w:type="dxa"/>
            <w:gridSpan w:val="2"/>
          </w:tcPr>
          <w:p>
            <w:pPr>
              <w:pStyle w:val="17"/>
              <w:spacing w:before="16" w:line="285" w:lineRule="exact"/>
              <w:ind w:left="716"/>
              <w:rPr>
                <w:sz w:val="24"/>
              </w:rPr>
            </w:pPr>
            <w:r>
              <w:rPr>
                <w:sz w:val="24"/>
              </w:rPr>
              <w:t>门类代码</w:t>
            </w:r>
          </w:p>
        </w:tc>
        <w:tc>
          <w:tcPr>
            <w:tcW w:w="2394" w:type="dxa"/>
          </w:tcPr>
          <w:p>
            <w:pPr>
              <w:pStyle w:val="17"/>
              <w:rPr>
                <w:rFonts w:ascii="Times New Roman"/>
                <w:sz w:val="24"/>
              </w:rPr>
            </w:pPr>
            <w:r>
              <w:rPr>
                <w:rFonts w:hint="eastAsia" w:ascii="Times New Roman"/>
                <w:sz w:val="24"/>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pPr>
              <w:pStyle w:val="17"/>
              <w:spacing w:before="16" w:line="282" w:lineRule="exact"/>
              <w:ind w:left="95" w:right="88"/>
              <w:jc w:val="center"/>
              <w:rPr>
                <w:sz w:val="24"/>
              </w:rPr>
            </w:pPr>
            <w:r>
              <w:rPr>
                <w:sz w:val="24"/>
              </w:rPr>
              <w:t>所在院系名称</w:t>
            </w:r>
          </w:p>
        </w:tc>
        <w:tc>
          <w:tcPr>
            <w:tcW w:w="7175" w:type="dxa"/>
            <w:gridSpan w:val="4"/>
          </w:tcPr>
          <w:p>
            <w:pPr>
              <w:pStyle w:val="17"/>
              <w:rPr>
                <w:rFonts w:ascii="Times New Roman"/>
                <w:sz w:val="24"/>
              </w:rPr>
            </w:pPr>
            <w:r>
              <w:rPr>
                <w:rFonts w:hint="eastAsia" w:ascii="Times New Roman"/>
                <w:sz w:val="24"/>
              </w:rPr>
              <w:t>旅游与文化产业学院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9568" w:type="dxa"/>
            <w:gridSpan w:val="5"/>
          </w:tcPr>
          <w:p>
            <w:pPr>
              <w:pStyle w:val="17"/>
              <w:spacing w:before="16" w:line="285" w:lineRule="exact"/>
              <w:ind w:left="3803" w:right="3794"/>
              <w:jc w:val="center"/>
              <w:rPr>
                <w:sz w:val="24"/>
              </w:rPr>
            </w:pPr>
            <w:r>
              <w:rPr>
                <w:sz w:val="24"/>
              </w:rPr>
              <w:t>学校相近专业情况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2393" w:type="dxa"/>
          </w:tcPr>
          <w:p>
            <w:pPr>
              <w:pStyle w:val="17"/>
              <w:spacing w:before="175"/>
              <w:ind w:left="95" w:right="86"/>
              <w:jc w:val="center"/>
              <w:rPr>
                <w:rFonts w:ascii="Times New Roman" w:eastAsia="Times New Roman"/>
                <w:sz w:val="24"/>
              </w:rPr>
            </w:pPr>
            <w:r>
              <w:rPr>
                <w:sz w:val="24"/>
              </w:rPr>
              <w:t xml:space="preserve">相近专业 </w:t>
            </w:r>
            <w:r>
              <w:rPr>
                <w:rFonts w:ascii="Times New Roman" w:eastAsia="Times New Roman"/>
                <w:sz w:val="24"/>
              </w:rPr>
              <w:t>1</w:t>
            </w:r>
          </w:p>
        </w:tc>
        <w:tc>
          <w:tcPr>
            <w:tcW w:w="2390" w:type="dxa"/>
          </w:tcPr>
          <w:p>
            <w:pPr>
              <w:pStyle w:val="17"/>
              <w:spacing w:before="175"/>
              <w:ind w:left="212" w:right="207"/>
              <w:jc w:val="center"/>
              <w:rPr>
                <w:sz w:val="24"/>
              </w:rPr>
            </w:pPr>
            <w:r>
              <w:rPr>
                <w:rFonts w:hint="eastAsia"/>
                <w:sz w:val="24"/>
              </w:rPr>
              <w:t>旅游管理</w:t>
            </w:r>
          </w:p>
        </w:tc>
        <w:tc>
          <w:tcPr>
            <w:tcW w:w="1986" w:type="dxa"/>
          </w:tcPr>
          <w:p>
            <w:pPr>
              <w:pStyle w:val="17"/>
              <w:spacing w:before="175"/>
              <w:ind w:right="259"/>
              <w:jc w:val="center"/>
              <w:rPr>
                <w:sz w:val="24"/>
              </w:rPr>
            </w:pPr>
            <w:r>
              <w:rPr>
                <w:rFonts w:hint="eastAsia"/>
                <w:sz w:val="24"/>
              </w:rPr>
              <w:t>2006年</w:t>
            </w:r>
          </w:p>
        </w:tc>
        <w:tc>
          <w:tcPr>
            <w:tcW w:w="2799" w:type="dxa"/>
            <w:gridSpan w:val="2"/>
          </w:tcPr>
          <w:p>
            <w:pPr>
              <w:pStyle w:val="17"/>
              <w:spacing w:before="177"/>
              <w:ind w:left="212" w:right="207"/>
              <w:jc w:val="center"/>
              <w:rPr>
                <w:sz w:val="24"/>
              </w:rPr>
            </w:pPr>
            <w:r>
              <w:rPr>
                <w:rFonts w:hint="eastAsia"/>
                <w:sz w:val="24"/>
              </w:rPr>
              <w:t>17名专任教师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393" w:type="dxa"/>
          </w:tcPr>
          <w:p>
            <w:pPr>
              <w:pStyle w:val="17"/>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2</w:t>
            </w:r>
          </w:p>
        </w:tc>
        <w:tc>
          <w:tcPr>
            <w:tcW w:w="2390" w:type="dxa"/>
          </w:tcPr>
          <w:p>
            <w:pPr>
              <w:pStyle w:val="17"/>
              <w:spacing w:before="177"/>
              <w:ind w:left="212" w:right="207"/>
              <w:jc w:val="center"/>
              <w:rPr>
                <w:sz w:val="24"/>
              </w:rPr>
            </w:pPr>
            <w:r>
              <w:rPr>
                <w:rFonts w:hint="eastAsia"/>
                <w:sz w:val="24"/>
              </w:rPr>
              <w:t>会展经济与管理</w:t>
            </w:r>
          </w:p>
        </w:tc>
        <w:tc>
          <w:tcPr>
            <w:tcW w:w="1986" w:type="dxa"/>
          </w:tcPr>
          <w:p>
            <w:pPr>
              <w:pStyle w:val="17"/>
              <w:spacing w:before="177"/>
              <w:ind w:right="259"/>
              <w:jc w:val="center"/>
              <w:rPr>
                <w:sz w:val="24"/>
              </w:rPr>
            </w:pPr>
            <w:r>
              <w:rPr>
                <w:rFonts w:hint="eastAsia"/>
                <w:sz w:val="24"/>
              </w:rPr>
              <w:t>2013年</w:t>
            </w:r>
          </w:p>
        </w:tc>
        <w:tc>
          <w:tcPr>
            <w:tcW w:w="2799" w:type="dxa"/>
            <w:gridSpan w:val="2"/>
          </w:tcPr>
          <w:p>
            <w:pPr>
              <w:pStyle w:val="17"/>
              <w:spacing w:before="177"/>
              <w:ind w:left="212" w:right="207"/>
              <w:jc w:val="center"/>
              <w:rPr>
                <w:sz w:val="24"/>
              </w:rPr>
            </w:pPr>
            <w:r>
              <w:rPr>
                <w:rFonts w:hint="eastAsia"/>
                <w:sz w:val="24"/>
                <w:lang w:val="en-US" w:eastAsia="zh-CN"/>
              </w:rPr>
              <w:t>10</w:t>
            </w:r>
            <w:r>
              <w:rPr>
                <w:rFonts w:hint="eastAsia"/>
                <w:sz w:val="24"/>
              </w:rPr>
              <w:t>名专任教师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393" w:type="dxa"/>
          </w:tcPr>
          <w:p>
            <w:pPr>
              <w:pStyle w:val="17"/>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3</w:t>
            </w:r>
          </w:p>
        </w:tc>
        <w:tc>
          <w:tcPr>
            <w:tcW w:w="2390" w:type="dxa"/>
          </w:tcPr>
          <w:p>
            <w:pPr>
              <w:pStyle w:val="17"/>
              <w:spacing w:before="177"/>
              <w:ind w:left="212" w:right="207"/>
              <w:jc w:val="center"/>
              <w:rPr>
                <w:rFonts w:hint="eastAsia" w:eastAsia="宋体"/>
                <w:sz w:val="24"/>
                <w:lang w:eastAsia="zh-CN"/>
              </w:rPr>
            </w:pPr>
            <w:r>
              <w:rPr>
                <w:rFonts w:hint="eastAsia"/>
                <w:sz w:val="24"/>
                <w:lang w:eastAsia="zh-CN"/>
              </w:rPr>
              <w:t>文化产业管理</w:t>
            </w:r>
          </w:p>
        </w:tc>
        <w:tc>
          <w:tcPr>
            <w:tcW w:w="1986" w:type="dxa"/>
          </w:tcPr>
          <w:p>
            <w:pPr>
              <w:pStyle w:val="17"/>
              <w:spacing w:before="177"/>
              <w:ind w:right="259"/>
              <w:jc w:val="center"/>
              <w:rPr>
                <w:rFonts w:hint="default" w:eastAsia="宋体"/>
                <w:sz w:val="24"/>
                <w:lang w:val="en-US" w:eastAsia="zh-CN"/>
              </w:rPr>
            </w:pPr>
            <w:r>
              <w:rPr>
                <w:rFonts w:hint="eastAsia"/>
                <w:sz w:val="24"/>
                <w:lang w:val="en-US" w:eastAsia="zh-CN"/>
              </w:rPr>
              <w:t>2012年</w:t>
            </w:r>
          </w:p>
        </w:tc>
        <w:tc>
          <w:tcPr>
            <w:tcW w:w="2799" w:type="dxa"/>
            <w:gridSpan w:val="2"/>
          </w:tcPr>
          <w:p>
            <w:pPr>
              <w:pStyle w:val="17"/>
              <w:spacing w:before="14" w:line="282" w:lineRule="exact"/>
              <w:ind w:left="90" w:right="19"/>
              <w:jc w:val="center"/>
              <w:rPr>
                <w:rFonts w:hint="eastAsia"/>
                <w:sz w:val="24"/>
                <w:lang w:val="en-US" w:eastAsia="zh-CN"/>
              </w:rPr>
            </w:pPr>
          </w:p>
          <w:p>
            <w:pPr>
              <w:pStyle w:val="17"/>
              <w:spacing w:before="14" w:line="282" w:lineRule="exact"/>
              <w:ind w:left="90" w:right="19"/>
              <w:jc w:val="center"/>
              <w:rPr>
                <w:sz w:val="24"/>
              </w:rPr>
            </w:pPr>
            <w:r>
              <w:rPr>
                <w:rFonts w:hint="eastAsia"/>
                <w:sz w:val="24"/>
                <w:lang w:val="en-US" w:eastAsia="zh-CN"/>
              </w:rPr>
              <w:t>8</w:t>
            </w:r>
            <w:r>
              <w:rPr>
                <w:rFonts w:hint="eastAsia"/>
                <w:sz w:val="24"/>
              </w:rPr>
              <w:t>名专任教师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35" w:hRule="atLeast"/>
        </w:trPr>
        <w:tc>
          <w:tcPr>
            <w:tcW w:w="2393" w:type="dxa"/>
          </w:tcPr>
          <w:p>
            <w:pPr>
              <w:pStyle w:val="17"/>
              <w:spacing w:before="16"/>
              <w:ind w:left="95" w:right="88"/>
              <w:jc w:val="center"/>
              <w:rPr>
                <w:sz w:val="24"/>
              </w:rPr>
            </w:pPr>
            <w:r>
              <w:rPr>
                <w:sz w:val="24"/>
              </w:rPr>
              <w:t>增设专业区分度</w:t>
            </w:r>
          </w:p>
          <w:p>
            <w:pPr>
              <w:pStyle w:val="17"/>
              <w:spacing w:before="14"/>
              <w:ind w:left="95" w:right="88"/>
              <w:jc w:val="center"/>
              <w:rPr>
                <w:sz w:val="24"/>
              </w:rPr>
            </w:pPr>
            <w:r>
              <w:rPr>
                <w:sz w:val="24"/>
              </w:rPr>
              <w:t>（目录</w:t>
            </w:r>
            <w:r>
              <w:rPr>
                <w:rFonts w:hint="eastAsia"/>
                <w:sz w:val="24"/>
                <w:lang w:eastAsia="zh-CN"/>
              </w:rPr>
              <w:t>内</w:t>
            </w:r>
            <w:r>
              <w:rPr>
                <w:sz w:val="24"/>
              </w:rPr>
              <w:t>专业填写）</w:t>
            </w:r>
          </w:p>
        </w:tc>
        <w:tc>
          <w:tcPr>
            <w:tcW w:w="7175" w:type="dxa"/>
            <w:gridSpan w:val="4"/>
          </w:tcPr>
          <w:p>
            <w:pPr>
              <w:pStyle w:val="17"/>
              <w:spacing w:line="360" w:lineRule="auto"/>
              <w:ind w:firstLine="480" w:firstLineChars="200"/>
              <w:jc w:val="both"/>
              <w:rPr>
                <w:rFonts w:ascii="Times New Roman"/>
                <w:sz w:val="24"/>
              </w:rPr>
            </w:pPr>
            <w:r>
              <w:rPr>
                <w:rFonts w:hint="eastAsia" w:ascii="Times New Roman"/>
                <w:sz w:val="24"/>
                <w:lang w:val="en-US" w:eastAsia="zh-CN"/>
              </w:rPr>
              <w:t>酒店管理专业是管理学大类，旅游管理类下的专业，与旅游管理专业、会展经济与管理同属旅游管理一级学科下的专业。酒店管理专业与相关专业具有较大的区分度，同时又有鲜明的特色。着重培养德、智、体、美全面发展，具有良好职业道德和人文素养，掌握新的旅游业发展趋势下酒店、特色民宿等住宿业服务与经营管理的基础知识，具备良好的语言沟通、企业经营管理和团队合作能力，从事现代酒店、特色民宿等住宿业或高端服务业的一线服务和基层管理工作的高素质技术技能人才。在就业方向上区分度也较为明显，主要面向现代酒店、民宿等住宿业和高端服务行业，在前厅、客房、餐饮和人力资源、市场营销等岗位群，从事一线服务、管理等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2" w:hRule="atLeast"/>
        </w:trPr>
        <w:tc>
          <w:tcPr>
            <w:tcW w:w="2393" w:type="dxa"/>
          </w:tcPr>
          <w:p>
            <w:pPr>
              <w:pStyle w:val="17"/>
              <w:spacing w:before="16"/>
              <w:ind w:left="115"/>
              <w:rPr>
                <w:sz w:val="24"/>
              </w:rPr>
            </w:pPr>
            <w:r>
              <w:rPr>
                <w:sz w:val="24"/>
              </w:rPr>
              <w:t>增设专业的基础要求</w:t>
            </w:r>
          </w:p>
          <w:p>
            <w:pPr>
              <w:pStyle w:val="17"/>
              <w:spacing w:before="12"/>
              <w:ind w:left="115"/>
              <w:rPr>
                <w:sz w:val="24"/>
              </w:rPr>
            </w:pPr>
            <w:r>
              <w:rPr>
                <w:sz w:val="24"/>
              </w:rPr>
              <w:t>（目录外专业填写）</w:t>
            </w:r>
          </w:p>
        </w:tc>
        <w:tc>
          <w:tcPr>
            <w:tcW w:w="7175" w:type="dxa"/>
            <w:gridSpan w:val="4"/>
          </w:tcPr>
          <w:p>
            <w:pPr>
              <w:pStyle w:val="17"/>
              <w:rPr>
                <w:rFonts w:hint="default" w:ascii="Times New Roman" w:eastAsia="宋体"/>
                <w:sz w:val="24"/>
                <w:lang w:val="en-US" w:eastAsia="zh-CN"/>
              </w:rPr>
            </w:pPr>
            <w:r>
              <w:rPr>
                <w:rFonts w:hint="eastAsia" w:ascii="Times New Roman"/>
                <w:sz w:val="24"/>
                <w:lang w:val="en-US" w:eastAsia="zh-CN"/>
              </w:rPr>
              <w:t xml:space="preserve">      </w:t>
            </w:r>
          </w:p>
        </w:tc>
      </w:tr>
    </w:tbl>
    <w:p>
      <w:pPr>
        <w:rPr>
          <w:rFonts w:ascii="Times New Roman"/>
          <w:sz w:val="24"/>
        </w:rPr>
        <w:sectPr>
          <w:pgSz w:w="11910" w:h="16840"/>
          <w:pgMar w:top="1320" w:right="660" w:bottom="280" w:left="1200" w:header="720" w:footer="720" w:gutter="0"/>
          <w:cols w:space="720" w:num="1"/>
        </w:sectPr>
      </w:pPr>
    </w:p>
    <w:p>
      <w:pPr>
        <w:pStyle w:val="7"/>
        <w:spacing w:before="5"/>
        <w:rPr>
          <w:rFonts w:ascii="Times New Roman"/>
          <w:sz w:val="11"/>
        </w:rPr>
      </w:pPr>
    </w:p>
    <w:tbl>
      <w:tblPr>
        <w:tblStyle w:val="15"/>
        <w:tblW w:w="9805"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7"/>
        <w:gridCol w:w="1373"/>
        <w:gridCol w:w="2808"/>
        <w:gridCol w:w="3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3180" w:type="dxa"/>
            <w:gridSpan w:val="2"/>
            <w:tcBorders>
              <w:bottom w:val="single" w:color="000000" w:sz="6" w:space="0"/>
              <w:right w:val="single" w:color="000000" w:sz="6" w:space="0"/>
            </w:tcBorders>
          </w:tcPr>
          <w:p>
            <w:pPr>
              <w:pStyle w:val="17"/>
              <w:spacing w:before="122"/>
              <w:ind w:left="107"/>
              <w:rPr>
                <w:sz w:val="24"/>
              </w:rPr>
            </w:pPr>
            <w:r>
              <w:rPr>
                <w:sz w:val="24"/>
              </w:rPr>
              <w:t>申报专业主要就业领域</w:t>
            </w:r>
          </w:p>
        </w:tc>
        <w:tc>
          <w:tcPr>
            <w:tcW w:w="6625" w:type="dxa"/>
            <w:gridSpan w:val="2"/>
            <w:tcBorders>
              <w:left w:val="single" w:color="000000" w:sz="6" w:space="0"/>
              <w:bottom w:val="single" w:color="000000" w:sz="6" w:space="0"/>
            </w:tcBorders>
          </w:tcPr>
          <w:p>
            <w:pPr>
              <w:pStyle w:val="17"/>
              <w:spacing w:before="122"/>
              <w:ind w:left="107"/>
              <w:rPr>
                <w:rFonts w:ascii="Times New Roman"/>
                <w:sz w:val="24"/>
              </w:rPr>
            </w:pPr>
            <w:r>
              <w:rPr>
                <w:rFonts w:hint="eastAsia"/>
                <w:sz w:val="24"/>
              </w:rPr>
              <w:t>酒店、餐饮、会展和政府管理部门等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6" w:hRule="atLeast"/>
        </w:trPr>
        <w:tc>
          <w:tcPr>
            <w:tcW w:w="9805" w:type="dxa"/>
            <w:gridSpan w:val="4"/>
            <w:tcBorders>
              <w:top w:val="single" w:color="000000" w:sz="6" w:space="0"/>
              <w:bottom w:val="single" w:color="000000" w:sz="6" w:space="0"/>
            </w:tcBorders>
          </w:tcPr>
          <w:p>
            <w:pPr>
              <w:pStyle w:val="17"/>
              <w:spacing w:line="242" w:lineRule="auto"/>
              <w:ind w:left="107" w:right="51"/>
              <w:rPr>
                <w:sz w:val="24"/>
              </w:rPr>
            </w:pPr>
            <w:r>
              <w:rPr>
                <w:sz w:val="24"/>
              </w:rPr>
              <w:t>人才需求情况（请加强与用人单位的沟通，预测用人单位对该专业的岗位需求。此处填写的内容要具体到用人单位名称及其人才需求预测数）</w:t>
            </w:r>
          </w:p>
          <w:p>
            <w:pPr>
              <w:pStyle w:val="17"/>
              <w:spacing w:line="242" w:lineRule="auto"/>
              <w:ind w:left="107" w:right="51"/>
              <w:rPr>
                <w:sz w:val="24"/>
              </w:rPr>
            </w:pPr>
          </w:p>
          <w:p>
            <w:pPr>
              <w:pStyle w:val="17"/>
              <w:spacing w:line="312" w:lineRule="auto"/>
              <w:ind w:left="108" w:right="51" w:firstLine="480" w:firstLineChars="200"/>
              <w:jc w:val="both"/>
              <w:rPr>
                <w:sz w:val="24"/>
              </w:rPr>
            </w:pPr>
            <w:r>
              <w:rPr>
                <w:rFonts w:hint="eastAsia"/>
                <w:sz w:val="24"/>
              </w:rPr>
              <w:t>酒</w:t>
            </w:r>
            <w:r>
              <w:rPr>
                <w:sz w:val="24"/>
              </w:rPr>
              <w:t>店管理是全球十大热门行业之一，高级酒店管理人才在全球一直很紧缺。近年来，在国际人才市场上，酒店管理人才出现了供不应求的局面。随着</w:t>
            </w:r>
            <w:r>
              <w:rPr>
                <w:rFonts w:hint="eastAsia"/>
                <w:sz w:val="24"/>
                <w:lang w:eastAsia="zh-CN"/>
              </w:rPr>
              <w:t>大众旅游后时代的到来，</w:t>
            </w:r>
            <w:r>
              <w:rPr>
                <w:sz w:val="24"/>
              </w:rPr>
              <w:t>近些年新开酒店数量的不断增多，酒店行业内对高端管理人才的需求急速增加</w:t>
            </w:r>
            <w:r>
              <w:rPr>
                <w:rFonts w:hint="eastAsia"/>
                <w:sz w:val="24"/>
                <w:lang w:eastAsia="zh-CN"/>
              </w:rPr>
              <w:t>，</w:t>
            </w:r>
            <w:r>
              <w:rPr>
                <w:sz w:val="24"/>
              </w:rPr>
              <w:t>目前</w:t>
            </w:r>
            <w:r>
              <w:rPr>
                <w:rFonts w:hint="eastAsia"/>
                <w:sz w:val="24"/>
              </w:rPr>
              <w:t>酒店</w:t>
            </w:r>
            <w:r>
              <w:rPr>
                <w:sz w:val="24"/>
              </w:rPr>
              <w:t>行业必须面对的一个事实是，酒店新增的速度已经超越了高管人才培养和成长的速度</w:t>
            </w:r>
            <w:r>
              <w:rPr>
                <w:rFonts w:hint="eastAsia"/>
                <w:sz w:val="24"/>
                <w:lang w:eastAsia="zh-CN"/>
              </w:rPr>
              <w:t>，</w:t>
            </w:r>
            <w:r>
              <w:rPr>
                <w:rFonts w:hint="eastAsia"/>
                <w:sz w:val="24"/>
              </w:rPr>
              <w:t>在国际人才市场上，酒店管理人才出现了供不应求的局面。全世界</w:t>
            </w:r>
            <w:r>
              <w:rPr>
                <w:rFonts w:hint="eastAsia"/>
                <w:sz w:val="24"/>
                <w:lang w:eastAsia="zh-CN"/>
              </w:rPr>
              <w:t>排名前</w:t>
            </w:r>
            <w:r>
              <w:rPr>
                <w:rFonts w:hint="eastAsia"/>
                <w:sz w:val="24"/>
                <w:lang w:val="en-US" w:eastAsia="zh-CN"/>
              </w:rPr>
              <w:t>20的</w:t>
            </w:r>
            <w:r>
              <w:rPr>
                <w:rFonts w:hint="eastAsia"/>
                <w:sz w:val="24"/>
              </w:rPr>
              <w:t>国际酒店管理集团</w:t>
            </w:r>
            <w:r>
              <w:rPr>
                <w:rFonts w:hint="eastAsia"/>
                <w:sz w:val="24"/>
                <w:lang w:eastAsia="zh-CN"/>
              </w:rPr>
              <w:t>均国内，特别是成都</w:t>
            </w:r>
            <w:r>
              <w:rPr>
                <w:rFonts w:hint="eastAsia"/>
                <w:sz w:val="24"/>
              </w:rPr>
              <w:t>投资或管理星级酒店，酒店行业在不断扩充，对人才的需求也不断增加，每年都需要数以</w:t>
            </w:r>
            <w:r>
              <w:rPr>
                <w:rFonts w:hint="eastAsia"/>
                <w:sz w:val="24"/>
                <w:lang w:eastAsia="zh-CN"/>
              </w:rPr>
              <w:t>万</w:t>
            </w:r>
            <w:r>
              <w:rPr>
                <w:rFonts w:hint="eastAsia"/>
                <w:sz w:val="24"/>
              </w:rPr>
              <w:t>计的国际化酒店管理人才</w:t>
            </w:r>
            <w:r>
              <w:rPr>
                <w:rFonts w:hint="eastAsia"/>
                <w:sz w:val="24"/>
                <w:lang w:eastAsia="zh-CN"/>
              </w:rPr>
              <w:t>，据统计，</w:t>
            </w:r>
            <w:r>
              <w:rPr>
                <w:rFonts w:hint="eastAsia"/>
                <w:b/>
                <w:bCs/>
                <w:sz w:val="24"/>
                <w:lang w:eastAsia="zh-CN"/>
              </w:rPr>
              <w:t>截至20</w:t>
            </w:r>
            <w:r>
              <w:rPr>
                <w:rFonts w:hint="eastAsia"/>
                <w:b/>
                <w:bCs/>
                <w:sz w:val="24"/>
                <w:lang w:val="en-US" w:eastAsia="zh-CN"/>
              </w:rPr>
              <w:t>20</w:t>
            </w:r>
            <w:r>
              <w:rPr>
                <w:rFonts w:hint="eastAsia"/>
                <w:b/>
                <w:bCs/>
                <w:sz w:val="24"/>
                <w:lang w:eastAsia="zh-CN"/>
              </w:rPr>
              <w:t>年</w:t>
            </w:r>
            <w:r>
              <w:rPr>
                <w:rFonts w:hint="eastAsia"/>
                <w:sz w:val="24"/>
                <w:lang w:eastAsia="zh-CN"/>
              </w:rPr>
              <w:t>，中国酒店管理职位空缺接近</w:t>
            </w:r>
            <w:r>
              <w:rPr>
                <w:rFonts w:hint="eastAsia"/>
                <w:b/>
                <w:bCs/>
                <w:sz w:val="24"/>
                <w:lang w:val="en-US" w:eastAsia="zh-CN"/>
              </w:rPr>
              <w:t>5</w:t>
            </w:r>
            <w:r>
              <w:rPr>
                <w:rFonts w:hint="eastAsia"/>
                <w:b/>
                <w:bCs/>
                <w:sz w:val="24"/>
                <w:lang w:eastAsia="zh-CN"/>
              </w:rPr>
              <w:t>00万</w:t>
            </w:r>
            <w:r>
              <w:rPr>
                <w:rFonts w:hint="eastAsia"/>
                <w:sz w:val="24"/>
                <w:lang w:eastAsia="zh-CN"/>
              </w:rPr>
              <w:t>，原因不外乎是国内的酒店管理教育不能满足行业需要。光在四川省内，每年酒店管理专业的人才缺口就达</w:t>
            </w:r>
            <w:r>
              <w:rPr>
                <w:rFonts w:hint="eastAsia"/>
                <w:sz w:val="24"/>
                <w:lang w:val="en-US" w:eastAsia="zh-CN"/>
              </w:rPr>
              <w:t>2万余人</w:t>
            </w:r>
            <w:r>
              <w:rPr>
                <w:rFonts w:hint="eastAsia"/>
                <w:sz w:val="24"/>
              </w:rPr>
              <w:t>。</w:t>
            </w:r>
          </w:p>
          <w:p>
            <w:pPr>
              <w:pStyle w:val="17"/>
              <w:spacing w:line="312" w:lineRule="auto"/>
              <w:ind w:left="108" w:right="51" w:firstLine="480" w:firstLineChars="200"/>
              <w:jc w:val="both"/>
              <w:rPr>
                <w:rFonts w:hint="default" w:eastAsia="宋体"/>
                <w:sz w:val="24"/>
                <w:lang w:val="en-US" w:eastAsia="zh-CN"/>
              </w:rPr>
            </w:pPr>
            <w:r>
              <w:rPr>
                <w:rFonts w:hint="eastAsia"/>
                <w:sz w:val="24"/>
                <w:lang w:eastAsia="zh-CN"/>
              </w:rPr>
              <w:t>我校的</w:t>
            </w:r>
            <w:r>
              <w:rPr>
                <w:rFonts w:hint="eastAsia"/>
                <w:b/>
                <w:bCs/>
                <w:sz w:val="24"/>
                <w:lang w:eastAsia="zh-CN"/>
              </w:rPr>
              <w:t>“</w:t>
            </w:r>
            <w:r>
              <w:rPr>
                <w:rFonts w:hint="eastAsia"/>
                <w:b/>
                <w:bCs/>
                <w:sz w:val="24"/>
                <w:lang w:val="en-US" w:eastAsia="zh-CN"/>
              </w:rPr>
              <w:t>国家一流专业”-</w:t>
            </w:r>
            <w:r>
              <w:rPr>
                <w:rFonts w:hint="eastAsia"/>
                <w:b/>
                <w:bCs/>
                <w:sz w:val="24"/>
                <w:lang w:eastAsia="zh-CN"/>
              </w:rPr>
              <w:t>旅游管理</w:t>
            </w:r>
            <w:r>
              <w:rPr>
                <w:rFonts w:hint="eastAsia"/>
                <w:sz w:val="24"/>
                <w:lang w:eastAsia="zh-CN"/>
              </w:rPr>
              <w:t>等相关专业一直与酒店保持了良好的合作关系，众多的旅游管理、会展经济与管理等毕业生赴酒店实习和就业。</w:t>
            </w:r>
            <w:r>
              <w:rPr>
                <w:rFonts w:hint="eastAsia"/>
                <w:sz w:val="24"/>
              </w:rPr>
              <w:t>2018年和2019年上半年，通过走访</w:t>
            </w:r>
            <w:r>
              <w:rPr>
                <w:rFonts w:hint="eastAsia"/>
                <w:b/>
                <w:bCs/>
                <w:sz w:val="24"/>
              </w:rPr>
              <w:t>成都世纪城洲际酒店、成都锦江宾馆、北京盘古酒店</w:t>
            </w:r>
            <w:r>
              <w:rPr>
                <w:rFonts w:hint="eastAsia"/>
                <w:b/>
                <w:bCs/>
                <w:sz w:val="24"/>
                <w:lang w:eastAsia="zh-CN"/>
              </w:rPr>
              <w:t>、</w:t>
            </w:r>
            <w:r>
              <w:rPr>
                <w:rFonts w:hint="eastAsia"/>
                <w:b/>
                <w:bCs/>
                <w:sz w:val="24"/>
              </w:rPr>
              <w:t>北京JW万豪酒店等星级酒店</w:t>
            </w:r>
            <w:r>
              <w:rPr>
                <w:rFonts w:hint="eastAsia"/>
                <w:b/>
                <w:bCs/>
                <w:sz w:val="24"/>
                <w:lang w:eastAsia="zh-CN"/>
              </w:rPr>
              <w:t>和成都空港大酒店</w:t>
            </w:r>
            <w:r>
              <w:rPr>
                <w:rFonts w:hint="eastAsia"/>
                <w:sz w:val="24"/>
              </w:rPr>
              <w:t>，</w:t>
            </w:r>
            <w:r>
              <w:rPr>
                <w:rFonts w:hint="eastAsia"/>
                <w:sz w:val="24"/>
                <w:lang w:eastAsia="zh-CN"/>
              </w:rPr>
              <w:t>我院</w:t>
            </w:r>
            <w:r>
              <w:rPr>
                <w:rFonts w:hint="eastAsia"/>
                <w:sz w:val="24"/>
              </w:rPr>
              <w:t>与</w:t>
            </w:r>
            <w:r>
              <w:rPr>
                <w:sz w:val="24"/>
              </w:rPr>
              <w:t>用人单位</w:t>
            </w:r>
            <w:r>
              <w:rPr>
                <w:rFonts w:hint="eastAsia"/>
                <w:sz w:val="24"/>
              </w:rPr>
              <w:t>进行深入沟通与交流，用人单位均表现出对酒店管理高素质人才的强烈需求，</w:t>
            </w:r>
            <w:r>
              <w:rPr>
                <w:sz w:val="24"/>
              </w:rPr>
              <w:t>高端酒店业人才匮乏</w:t>
            </w:r>
            <w:r>
              <w:rPr>
                <w:rFonts w:hint="eastAsia"/>
                <w:sz w:val="24"/>
              </w:rPr>
              <w:t>。</w:t>
            </w:r>
            <w:r>
              <w:rPr>
                <w:rFonts w:hint="eastAsia"/>
                <w:b/>
                <w:bCs/>
                <w:sz w:val="24"/>
              </w:rPr>
              <w:t>成都世纪城洲际酒店</w:t>
            </w:r>
            <w:r>
              <w:rPr>
                <w:rFonts w:hint="eastAsia"/>
                <w:sz w:val="24"/>
              </w:rPr>
              <w:t>人事经理表示，该酒店对酒店管理本科人才需求迫切，</w:t>
            </w:r>
            <w:r>
              <w:rPr>
                <w:rFonts w:hint="eastAsia"/>
                <w:sz w:val="24"/>
                <w:lang w:eastAsia="zh-CN"/>
              </w:rPr>
              <w:t>目前有部门经理、主管、对客沟通员、服务质量监督员、对客服务等</w:t>
            </w:r>
            <w:r>
              <w:rPr>
                <w:rFonts w:hint="eastAsia"/>
                <w:sz w:val="24"/>
              </w:rPr>
              <w:t>19个岗位有待酒店管理本科生入职</w:t>
            </w:r>
            <w:r>
              <w:rPr>
                <w:rFonts w:hint="eastAsia"/>
                <w:sz w:val="24"/>
                <w:lang w:eastAsia="zh-CN"/>
              </w:rPr>
              <w:t>；</w:t>
            </w:r>
            <w:r>
              <w:rPr>
                <w:rFonts w:hint="eastAsia"/>
                <w:b/>
                <w:bCs/>
                <w:sz w:val="24"/>
              </w:rPr>
              <w:t>成都锦江宾馆</w:t>
            </w:r>
            <w:r>
              <w:rPr>
                <w:rFonts w:hint="eastAsia"/>
                <w:sz w:val="24"/>
              </w:rPr>
              <w:t>人事经理表示，酒店管理人才流失严重，餐饮是最急需的部门，其他依次为前台、客户服务、客房，可为酒店管理本科生提供15个就业岗位</w:t>
            </w:r>
            <w:r>
              <w:rPr>
                <w:rFonts w:hint="eastAsia"/>
                <w:sz w:val="24"/>
                <w:lang w:eastAsia="zh-CN"/>
              </w:rPr>
              <w:t>；</w:t>
            </w:r>
            <w:r>
              <w:rPr>
                <w:rFonts w:hint="eastAsia"/>
                <w:b/>
                <w:bCs/>
                <w:sz w:val="24"/>
              </w:rPr>
              <w:t>北京盘古酒店</w:t>
            </w:r>
            <w:r>
              <w:rPr>
                <w:rFonts w:hint="eastAsia"/>
                <w:sz w:val="24"/>
                <w:lang w:eastAsia="zh-CN"/>
              </w:rPr>
              <w:t>表示，该酒店目前前厅接待人员、酒店旅游管理部门工作人员、楼层管理、大堂管理、咨询、会展等工作岗位每年均需要大量的实习和毕业生；</w:t>
            </w:r>
            <w:r>
              <w:rPr>
                <w:rFonts w:hint="eastAsia"/>
                <w:b/>
                <w:bCs/>
                <w:sz w:val="24"/>
              </w:rPr>
              <w:t>北京JW万豪</w:t>
            </w:r>
            <w:r>
              <w:rPr>
                <w:rFonts w:hint="eastAsia"/>
                <w:b/>
                <w:bCs/>
                <w:sz w:val="24"/>
                <w:lang w:eastAsia="zh-CN"/>
              </w:rPr>
              <w:t>酒店</w:t>
            </w:r>
            <w:r>
              <w:rPr>
                <w:rFonts w:hint="eastAsia"/>
                <w:b w:val="0"/>
                <w:bCs w:val="0"/>
                <w:sz w:val="24"/>
                <w:lang w:eastAsia="zh-CN"/>
              </w:rPr>
              <w:t>每年</w:t>
            </w:r>
            <w:r>
              <w:rPr>
                <w:rFonts w:hint="eastAsia"/>
                <w:sz w:val="24"/>
                <w:lang w:eastAsia="zh-CN"/>
              </w:rPr>
              <w:t>商务部门从事业务洽谈、对外联络服务人员、楼层管理、大堂管理、咨询等工作岗位也缺口较大；</w:t>
            </w:r>
            <w:r>
              <w:rPr>
                <w:rFonts w:hint="eastAsia"/>
                <w:b/>
                <w:bCs/>
                <w:sz w:val="24"/>
                <w:lang w:eastAsia="zh-CN"/>
              </w:rPr>
              <w:t>成都空港大酒店</w:t>
            </w:r>
            <w:r>
              <w:rPr>
                <w:rFonts w:hint="eastAsia"/>
                <w:sz w:val="24"/>
                <w:lang w:eastAsia="zh-CN"/>
              </w:rPr>
              <w:t>位于成都新旧两个机场，区域位置优越，目前与我院保持了良好的合作关系，这几个已经合作的酒店每年对酒店管理专业毕业生的需求也在</w:t>
            </w:r>
            <w:r>
              <w:rPr>
                <w:rFonts w:hint="eastAsia"/>
                <w:sz w:val="24"/>
                <w:lang w:val="en-US" w:eastAsia="zh-CN"/>
              </w:rPr>
              <w:t>200人以上。</w:t>
            </w:r>
          </w:p>
          <w:p>
            <w:pPr>
              <w:pStyle w:val="17"/>
              <w:spacing w:line="312" w:lineRule="auto"/>
              <w:ind w:left="108" w:right="51" w:firstLine="480" w:firstLineChars="200"/>
              <w:jc w:val="both"/>
              <w:rPr>
                <w:sz w:val="24"/>
              </w:rPr>
            </w:pPr>
            <w:r>
              <w:rPr>
                <w:rFonts w:hint="eastAsia"/>
                <w:sz w:val="24"/>
                <w:lang w:eastAsia="zh-CN"/>
              </w:rPr>
              <w:t>综上</w:t>
            </w:r>
            <w:r>
              <w:rPr>
                <w:sz w:val="24"/>
              </w:rPr>
              <w:t>，</w:t>
            </w:r>
            <w:r>
              <w:rPr>
                <w:rFonts w:hint="eastAsia"/>
                <w:sz w:val="24"/>
                <w:lang w:eastAsia="zh-CN"/>
              </w:rPr>
              <w:t>目前国内外</w:t>
            </w:r>
            <w:r>
              <w:rPr>
                <w:rFonts w:hint="eastAsia"/>
                <w:sz w:val="24"/>
              </w:rPr>
              <w:t>酒店行业人才较为匮乏，</w:t>
            </w:r>
            <w:r>
              <w:rPr>
                <w:rFonts w:hint="eastAsia"/>
                <w:sz w:val="24"/>
                <w:lang w:eastAsia="zh-CN"/>
              </w:rPr>
              <w:t>特别是</w:t>
            </w:r>
            <w:r>
              <w:rPr>
                <w:sz w:val="24"/>
              </w:rPr>
              <w:t>对</w:t>
            </w:r>
            <w:r>
              <w:rPr>
                <w:rFonts w:hint="eastAsia"/>
                <w:sz w:val="24"/>
                <w:lang w:eastAsia="zh-CN"/>
              </w:rPr>
              <w:t>具备较高综合素质的</w:t>
            </w:r>
            <w:r>
              <w:rPr>
                <w:rFonts w:hint="eastAsia"/>
                <w:sz w:val="24"/>
              </w:rPr>
              <w:t>酒店管理本科专业</w:t>
            </w:r>
            <w:r>
              <w:rPr>
                <w:sz w:val="24"/>
              </w:rPr>
              <w:t>人才需求</w:t>
            </w:r>
            <w:r>
              <w:rPr>
                <w:rFonts w:hint="eastAsia"/>
                <w:sz w:val="24"/>
              </w:rPr>
              <w:t>旺盛，各酒店均表现出对</w:t>
            </w:r>
            <w:r>
              <w:rPr>
                <w:sz w:val="24"/>
              </w:rPr>
              <w:t>酒店管理人才</w:t>
            </w:r>
            <w:r>
              <w:rPr>
                <w:rFonts w:hint="eastAsia"/>
                <w:sz w:val="24"/>
              </w:rPr>
              <w:t>的强烈需求。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807" w:type="dxa"/>
            <w:vMerge w:val="restart"/>
            <w:tcBorders>
              <w:top w:val="single" w:color="000000" w:sz="6" w:space="0"/>
              <w:right w:val="single" w:color="000000" w:sz="6" w:space="0"/>
            </w:tcBorders>
          </w:tcPr>
          <w:p>
            <w:pPr>
              <w:pStyle w:val="17"/>
              <w:rPr>
                <w:rFonts w:ascii="Times New Roman"/>
                <w:sz w:val="24"/>
              </w:rPr>
            </w:pPr>
          </w:p>
          <w:p>
            <w:pPr>
              <w:pStyle w:val="17"/>
              <w:rPr>
                <w:rFonts w:ascii="Times New Roman"/>
                <w:sz w:val="24"/>
              </w:rPr>
            </w:pPr>
          </w:p>
          <w:p>
            <w:pPr>
              <w:pStyle w:val="17"/>
              <w:rPr>
                <w:rFonts w:ascii="Times New Roman"/>
                <w:sz w:val="24"/>
              </w:rPr>
            </w:pPr>
          </w:p>
          <w:p>
            <w:pPr>
              <w:pStyle w:val="17"/>
              <w:spacing w:before="1"/>
              <w:rPr>
                <w:rFonts w:ascii="Times New Roman"/>
                <w:sz w:val="23"/>
              </w:rPr>
            </w:pPr>
          </w:p>
          <w:p>
            <w:pPr>
              <w:pStyle w:val="17"/>
              <w:spacing w:line="436" w:lineRule="auto"/>
              <w:ind w:left="182" w:right="170"/>
              <w:rPr>
                <w:sz w:val="24"/>
              </w:rPr>
            </w:pPr>
            <w:r>
              <w:rPr>
                <w:spacing w:val="-4"/>
                <w:sz w:val="24"/>
              </w:rPr>
              <w:t>申报专业人才需求调研情况</w:t>
            </w:r>
          </w:p>
          <w:p>
            <w:pPr>
              <w:pStyle w:val="17"/>
              <w:spacing w:line="439" w:lineRule="auto"/>
              <w:ind w:left="182" w:right="170"/>
              <w:rPr>
                <w:sz w:val="24"/>
              </w:rPr>
            </w:pPr>
            <w:r>
              <w:rPr>
                <w:sz w:val="24"/>
              </w:rPr>
              <w:t>（</w:t>
            </w:r>
            <w:r>
              <w:rPr>
                <w:spacing w:val="-4"/>
                <w:sz w:val="24"/>
              </w:rPr>
              <w:t>可上传合作</w:t>
            </w:r>
            <w:r>
              <w:rPr>
                <w:sz w:val="24"/>
              </w:rPr>
              <w:t>办学协议等</w:t>
            </w:r>
            <w:r>
              <w:rPr>
                <w:spacing w:val="-18"/>
                <w:sz w:val="24"/>
              </w:rPr>
              <w:t>）</w:t>
            </w:r>
          </w:p>
        </w:tc>
        <w:tc>
          <w:tcPr>
            <w:tcW w:w="4181" w:type="dxa"/>
            <w:gridSpan w:val="2"/>
            <w:tcBorders>
              <w:top w:val="single" w:color="000000" w:sz="6" w:space="0"/>
              <w:left w:val="single" w:color="000000" w:sz="6" w:space="0"/>
              <w:bottom w:val="single" w:color="000000" w:sz="6" w:space="0"/>
              <w:right w:val="single" w:color="000000" w:sz="6" w:space="0"/>
            </w:tcBorders>
          </w:tcPr>
          <w:p>
            <w:pPr>
              <w:pStyle w:val="17"/>
              <w:spacing w:before="208"/>
              <w:ind w:left="1128"/>
              <w:rPr>
                <w:sz w:val="24"/>
              </w:rPr>
            </w:pPr>
            <w:r>
              <w:rPr>
                <w:sz w:val="24"/>
              </w:rPr>
              <w:t>年度计划招生人数</w:t>
            </w:r>
          </w:p>
        </w:tc>
        <w:tc>
          <w:tcPr>
            <w:tcW w:w="3817" w:type="dxa"/>
            <w:tcBorders>
              <w:top w:val="single" w:color="000000" w:sz="6" w:space="0"/>
              <w:left w:val="single" w:color="000000" w:sz="6" w:space="0"/>
              <w:bottom w:val="single" w:color="000000" w:sz="6" w:space="0"/>
            </w:tcBorders>
          </w:tcPr>
          <w:p>
            <w:pPr>
              <w:pStyle w:val="17"/>
              <w:spacing w:before="211"/>
              <w:ind w:left="1368"/>
              <w:rPr>
                <w:rFonts w:hint="default" w:eastAsia="宋体"/>
                <w:sz w:val="24"/>
                <w:lang w:val="en-US" w:eastAsia="zh-CN"/>
              </w:rPr>
            </w:pPr>
            <w:r>
              <w:rPr>
                <w:rFonts w:hint="eastAsia"/>
                <w:sz w:val="24"/>
                <w:lang w:val="en-US" w:eastAsia="zh-CN"/>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7"/>
              <w:spacing w:before="211"/>
              <w:ind w:left="1368"/>
              <w:rPr>
                <w:sz w:val="24"/>
              </w:rPr>
            </w:pPr>
            <w:r>
              <w:rPr>
                <w:sz w:val="24"/>
              </w:rPr>
              <w:t>预计升学人数</w:t>
            </w:r>
          </w:p>
        </w:tc>
        <w:tc>
          <w:tcPr>
            <w:tcW w:w="3817" w:type="dxa"/>
            <w:tcBorders>
              <w:top w:val="single" w:color="000000" w:sz="6" w:space="0"/>
              <w:left w:val="single" w:color="000000" w:sz="6" w:space="0"/>
              <w:bottom w:val="single" w:color="000000" w:sz="6" w:space="0"/>
            </w:tcBorders>
          </w:tcPr>
          <w:p>
            <w:pPr>
              <w:pStyle w:val="17"/>
              <w:spacing w:before="211"/>
              <w:ind w:left="1368"/>
              <w:rPr>
                <w:rFonts w:hint="default" w:eastAsia="宋体"/>
                <w:sz w:val="24"/>
                <w:lang w:val="en-US" w:eastAsia="zh-CN"/>
              </w:rPr>
            </w:pPr>
            <w:r>
              <w:rPr>
                <w:rFonts w:hint="eastAsia"/>
                <w:sz w:val="24"/>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807" w:type="dxa"/>
            <w:vMerge w:val="continue"/>
            <w:tcBorders>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7"/>
              <w:spacing w:before="208"/>
              <w:ind w:left="1368"/>
              <w:rPr>
                <w:sz w:val="24"/>
              </w:rPr>
            </w:pPr>
            <w:r>
              <w:rPr>
                <w:sz w:val="24"/>
              </w:rPr>
              <w:t>预计就业人数</w:t>
            </w:r>
          </w:p>
        </w:tc>
        <w:tc>
          <w:tcPr>
            <w:tcW w:w="3817" w:type="dxa"/>
            <w:tcBorders>
              <w:top w:val="single" w:color="000000" w:sz="6" w:space="0"/>
              <w:left w:val="single" w:color="000000" w:sz="6" w:space="0"/>
              <w:bottom w:val="single" w:color="000000" w:sz="6" w:space="0"/>
            </w:tcBorders>
          </w:tcPr>
          <w:p>
            <w:pPr>
              <w:pStyle w:val="17"/>
              <w:spacing w:before="211"/>
              <w:ind w:left="1368"/>
              <w:rPr>
                <w:rFonts w:hint="default" w:eastAsia="宋体"/>
                <w:sz w:val="24"/>
                <w:lang w:val="en-US" w:eastAsia="zh-CN"/>
              </w:rPr>
            </w:pPr>
            <w:r>
              <w:rPr>
                <w:rFonts w:hint="eastAsia"/>
                <w:sz w:val="24"/>
                <w:lang w:val="en-US" w:eastAsia="zh-CN"/>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7"/>
              <w:spacing w:before="211"/>
              <w:ind w:left="467"/>
              <w:rPr>
                <w:sz w:val="24"/>
              </w:rPr>
            </w:pPr>
            <w:r>
              <w:rPr>
                <w:spacing w:val="-40"/>
                <w:sz w:val="24"/>
              </w:rPr>
              <w:t>其中：</w:t>
            </w:r>
            <w:r>
              <w:rPr>
                <w:sz w:val="24"/>
              </w:rPr>
              <w:t>（请填写用人单位名称）</w:t>
            </w:r>
          </w:p>
        </w:tc>
        <w:tc>
          <w:tcPr>
            <w:tcW w:w="3817" w:type="dxa"/>
            <w:tcBorders>
              <w:top w:val="single" w:color="000000" w:sz="6" w:space="0"/>
              <w:left w:val="single" w:color="000000" w:sz="6" w:space="0"/>
              <w:bottom w:val="single" w:color="000000" w:sz="6" w:space="0"/>
            </w:tcBorders>
          </w:tcPr>
          <w:p>
            <w:pPr>
              <w:pStyle w:val="17"/>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7"/>
              <w:spacing w:before="211"/>
              <w:jc w:val="center"/>
              <w:rPr>
                <w:sz w:val="24"/>
              </w:rPr>
            </w:pPr>
            <w:r>
              <w:rPr>
                <w:rFonts w:hint="eastAsia"/>
                <w:sz w:val="24"/>
              </w:rPr>
              <w:t>成都世纪城洲际酒店</w:t>
            </w:r>
          </w:p>
        </w:tc>
        <w:tc>
          <w:tcPr>
            <w:tcW w:w="3817" w:type="dxa"/>
            <w:tcBorders>
              <w:top w:val="single" w:color="000000" w:sz="6" w:space="0"/>
              <w:left w:val="single" w:color="000000" w:sz="6" w:space="0"/>
              <w:bottom w:val="single" w:color="000000" w:sz="6" w:space="0"/>
            </w:tcBorders>
          </w:tcPr>
          <w:p>
            <w:pPr>
              <w:pStyle w:val="17"/>
              <w:spacing w:before="211"/>
              <w:ind w:left="1368"/>
              <w:rPr>
                <w:sz w:val="24"/>
              </w:rPr>
            </w:pPr>
            <w:r>
              <w:rPr>
                <w:rFonts w:hint="eastAsia"/>
                <w:sz w:val="24"/>
              </w:rPr>
              <w:t>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807" w:type="dxa"/>
            <w:vMerge w:val="continue"/>
            <w:tcBorders>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7"/>
              <w:spacing w:before="211"/>
              <w:jc w:val="center"/>
              <w:rPr>
                <w:sz w:val="24"/>
              </w:rPr>
            </w:pPr>
            <w:r>
              <w:rPr>
                <w:rFonts w:hint="eastAsia"/>
                <w:sz w:val="24"/>
              </w:rPr>
              <w:t>成都锦江宾馆</w:t>
            </w:r>
          </w:p>
        </w:tc>
        <w:tc>
          <w:tcPr>
            <w:tcW w:w="3817" w:type="dxa"/>
            <w:tcBorders>
              <w:top w:val="single" w:color="000000" w:sz="6" w:space="0"/>
              <w:left w:val="single" w:color="000000" w:sz="6" w:space="0"/>
              <w:bottom w:val="single" w:color="000000" w:sz="6" w:space="0"/>
            </w:tcBorders>
          </w:tcPr>
          <w:p>
            <w:pPr>
              <w:pStyle w:val="17"/>
              <w:spacing w:before="211"/>
              <w:ind w:left="1368"/>
              <w:rPr>
                <w:sz w:val="24"/>
              </w:rPr>
            </w:pPr>
            <w:r>
              <w:rPr>
                <w:rFonts w:hint="eastAsia"/>
                <w:sz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807" w:type="dxa"/>
            <w:vMerge w:val="continue"/>
            <w:tcBorders>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7"/>
              <w:spacing w:before="211"/>
              <w:jc w:val="center"/>
              <w:rPr>
                <w:sz w:val="24"/>
              </w:rPr>
            </w:pPr>
            <w:r>
              <w:rPr>
                <w:rFonts w:hint="eastAsia"/>
                <w:sz w:val="24"/>
              </w:rPr>
              <w:t>北京盘古酒店北京JW万豪酒店</w:t>
            </w:r>
          </w:p>
        </w:tc>
        <w:tc>
          <w:tcPr>
            <w:tcW w:w="3817" w:type="dxa"/>
            <w:tcBorders>
              <w:top w:val="single" w:color="000000" w:sz="6" w:space="0"/>
              <w:left w:val="single" w:color="000000" w:sz="6" w:space="0"/>
              <w:bottom w:val="single" w:color="000000" w:sz="6" w:space="0"/>
            </w:tcBorders>
          </w:tcPr>
          <w:p>
            <w:pPr>
              <w:pStyle w:val="17"/>
              <w:spacing w:before="211"/>
              <w:ind w:left="1368"/>
              <w:rPr>
                <w:rFonts w:hint="eastAsia" w:eastAsia="宋体"/>
                <w:sz w:val="24"/>
                <w:lang w:eastAsia="zh-CN"/>
              </w:rPr>
            </w:pPr>
            <w:r>
              <w:rPr>
                <w:rFonts w:hint="eastAsia"/>
                <w:sz w:val="24"/>
              </w:rPr>
              <w:t>1</w:t>
            </w:r>
            <w:r>
              <w:rPr>
                <w:rFonts w:hint="eastAsia"/>
                <w:sz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7"/>
              <w:spacing w:before="211"/>
              <w:jc w:val="center"/>
              <w:rPr>
                <w:sz w:val="24"/>
              </w:rPr>
            </w:pPr>
            <w:r>
              <w:rPr>
                <w:rFonts w:hint="eastAsia"/>
                <w:sz w:val="24"/>
              </w:rPr>
              <w:t>北京盘古酒店</w:t>
            </w:r>
          </w:p>
        </w:tc>
        <w:tc>
          <w:tcPr>
            <w:tcW w:w="3817" w:type="dxa"/>
            <w:tcBorders>
              <w:top w:val="single" w:color="000000" w:sz="6" w:space="0"/>
              <w:left w:val="single" w:color="000000" w:sz="6" w:space="0"/>
              <w:bottom w:val="single" w:color="000000" w:sz="6" w:space="0"/>
            </w:tcBorders>
          </w:tcPr>
          <w:p>
            <w:pPr>
              <w:pStyle w:val="17"/>
              <w:spacing w:before="211"/>
              <w:ind w:left="1368" w:firstLine="120" w:firstLineChars="50"/>
              <w:rPr>
                <w:sz w:val="24"/>
              </w:rPr>
            </w:pPr>
            <w:r>
              <w:rPr>
                <w:rFonts w:hint="eastAsia"/>
                <w:sz w:val="24"/>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rPr>
                <w:sz w:val="2"/>
                <w:szCs w:val="2"/>
              </w:rPr>
            </w:pPr>
          </w:p>
        </w:tc>
        <w:tc>
          <w:tcPr>
            <w:tcW w:w="4181" w:type="dxa"/>
            <w:gridSpan w:val="2"/>
            <w:tcBorders>
              <w:top w:val="single" w:color="000000" w:sz="6" w:space="0"/>
              <w:left w:val="single" w:color="000000" w:sz="6" w:space="0"/>
              <w:right w:val="single" w:color="000000" w:sz="6" w:space="0"/>
            </w:tcBorders>
          </w:tcPr>
          <w:p>
            <w:pPr>
              <w:pStyle w:val="17"/>
              <w:spacing w:before="211"/>
              <w:jc w:val="center"/>
              <w:rPr>
                <w:rFonts w:hint="eastAsia" w:eastAsia="宋体"/>
                <w:sz w:val="24"/>
                <w:lang w:eastAsia="zh-CN"/>
              </w:rPr>
            </w:pPr>
            <w:r>
              <w:rPr>
                <w:rFonts w:hint="eastAsia"/>
                <w:sz w:val="24"/>
                <w:lang w:eastAsia="zh-CN"/>
              </w:rPr>
              <w:t>成都空港大酒店</w:t>
            </w:r>
          </w:p>
        </w:tc>
        <w:tc>
          <w:tcPr>
            <w:tcW w:w="3817" w:type="dxa"/>
            <w:tcBorders>
              <w:top w:val="single" w:color="000000" w:sz="6" w:space="0"/>
              <w:left w:val="single" w:color="000000" w:sz="6" w:space="0"/>
            </w:tcBorders>
          </w:tcPr>
          <w:p>
            <w:pPr>
              <w:pStyle w:val="17"/>
              <w:spacing w:before="211"/>
              <w:ind w:left="1368" w:firstLine="120" w:firstLineChars="50"/>
              <w:rPr>
                <w:rFonts w:hint="default" w:eastAsia="宋体"/>
                <w:sz w:val="24"/>
                <w:lang w:val="en-US" w:eastAsia="zh-CN"/>
              </w:rPr>
            </w:pPr>
            <w:r>
              <w:rPr>
                <w:rFonts w:hint="eastAsia"/>
                <w:sz w:val="24"/>
                <w:lang w:val="en-US" w:eastAsia="zh-CN"/>
              </w:rPr>
              <w:t>15</w:t>
            </w:r>
          </w:p>
        </w:tc>
      </w:tr>
    </w:tbl>
    <w:p>
      <w:pPr>
        <w:rPr>
          <w:rFonts w:ascii="Times New Roman"/>
          <w:sz w:val="24"/>
        </w:rPr>
        <w:sectPr>
          <w:headerReference r:id="rId3" w:type="default"/>
          <w:pgSz w:w="11910" w:h="16840"/>
          <w:pgMar w:top="1760" w:right="660" w:bottom="280" w:left="1200" w:header="1409" w:footer="0" w:gutter="0"/>
          <w:cols w:space="720" w:num="1"/>
        </w:sectPr>
      </w:pPr>
    </w:p>
    <w:p>
      <w:pPr>
        <w:pStyle w:val="7"/>
        <w:spacing w:before="8"/>
        <w:rPr>
          <w:rFonts w:ascii="Times New Roman"/>
          <w:sz w:val="17"/>
        </w:rPr>
      </w:pPr>
    </w:p>
    <w:p>
      <w:pPr>
        <w:pStyle w:val="16"/>
        <w:numPr>
          <w:ilvl w:val="1"/>
          <w:numId w:val="2"/>
        </w:numPr>
        <w:tabs>
          <w:tab w:val="left" w:pos="714"/>
        </w:tabs>
        <w:spacing w:before="0" w:line="484" w:lineRule="exact"/>
        <w:ind w:hanging="496"/>
        <w:rPr>
          <w:sz w:val="24"/>
        </w:rPr>
      </w:pPr>
      <w:r>
        <w:rPr>
          <w:rFonts w:hint="eastAsia" w:ascii="Microsoft JhengHei" w:eastAsia="Microsoft JhengHei"/>
          <w:b/>
          <w:sz w:val="28"/>
        </w:rPr>
        <w:t>教师及开课情况汇总表</w:t>
      </w:r>
    </w:p>
    <w:p>
      <w:pPr>
        <w:spacing w:before="4"/>
        <w:rPr>
          <w:sz w:val="5"/>
        </w:rPr>
      </w:pPr>
    </w:p>
    <w:tbl>
      <w:tblPr>
        <w:tblStyle w:val="15"/>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47"/>
        <w:gridCol w:w="3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6347" w:type="dxa"/>
          </w:tcPr>
          <w:p>
            <w:pPr>
              <w:pStyle w:val="17"/>
              <w:spacing w:before="79" w:line="299" w:lineRule="exact"/>
              <w:ind w:left="392" w:right="383"/>
              <w:jc w:val="center"/>
              <w:rPr>
                <w:sz w:val="24"/>
              </w:rPr>
            </w:pPr>
            <w:r>
              <w:rPr>
                <w:sz w:val="24"/>
              </w:rPr>
              <w:t>专任教师总数</w:t>
            </w:r>
          </w:p>
        </w:tc>
        <w:tc>
          <w:tcPr>
            <w:tcW w:w="3227" w:type="dxa"/>
          </w:tcPr>
          <w:p>
            <w:pPr>
              <w:pStyle w:val="17"/>
              <w:spacing w:before="79" w:line="299" w:lineRule="exact"/>
              <w:ind w:left="392" w:right="383"/>
              <w:jc w:val="center"/>
              <w:rPr>
                <w:rFonts w:hint="default"/>
                <w:sz w:val="24"/>
                <w:lang w:val="en-US" w:eastAsia="zh-CN"/>
              </w:rPr>
            </w:pPr>
            <w:r>
              <w:rPr>
                <w:rFonts w:hint="eastAsia"/>
                <w:sz w:val="24"/>
                <w:lang w:val="en-US" w:eastAsia="zh-CN"/>
              </w:rPr>
              <w:t>24人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7"/>
              <w:spacing w:before="79" w:line="299" w:lineRule="exact"/>
              <w:ind w:left="392" w:right="383"/>
              <w:jc w:val="center"/>
              <w:rPr>
                <w:sz w:val="24"/>
              </w:rPr>
            </w:pPr>
            <w:r>
              <w:rPr>
                <w:sz w:val="24"/>
              </w:rPr>
              <w:t>具有教授（含其他正高级）职称教师数及比例</w:t>
            </w:r>
          </w:p>
        </w:tc>
        <w:tc>
          <w:tcPr>
            <w:tcW w:w="3227" w:type="dxa"/>
          </w:tcPr>
          <w:p>
            <w:pPr>
              <w:pStyle w:val="17"/>
              <w:spacing w:before="79" w:line="299" w:lineRule="exact"/>
              <w:ind w:left="392" w:right="383"/>
              <w:jc w:val="center"/>
              <w:rPr>
                <w:sz w:val="24"/>
              </w:rPr>
            </w:pPr>
            <w:r>
              <w:rPr>
                <w:rFonts w:hint="eastAsia"/>
                <w:sz w:val="24"/>
                <w:lang w:val="en-US" w:eastAsia="zh-CN"/>
              </w:rPr>
              <w:t>20.8%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7"/>
              <w:spacing w:before="79" w:line="299" w:lineRule="exact"/>
              <w:ind w:left="392" w:right="383"/>
              <w:jc w:val="center"/>
              <w:rPr>
                <w:sz w:val="24"/>
              </w:rPr>
            </w:pPr>
            <w:r>
              <w:rPr>
                <w:sz w:val="24"/>
              </w:rPr>
              <w:t>具有副教授以上（含其他副高级）职称教师数及比例</w:t>
            </w:r>
          </w:p>
        </w:tc>
        <w:tc>
          <w:tcPr>
            <w:tcW w:w="3227" w:type="dxa"/>
          </w:tcPr>
          <w:p>
            <w:pPr>
              <w:pStyle w:val="17"/>
              <w:spacing w:before="79" w:line="299" w:lineRule="exact"/>
              <w:ind w:left="392" w:right="383"/>
              <w:jc w:val="center"/>
              <w:rPr>
                <w:rFonts w:hint="default"/>
                <w:sz w:val="24"/>
                <w:lang w:val="en-US" w:eastAsia="zh-CN"/>
              </w:rPr>
            </w:pPr>
            <w:r>
              <w:rPr>
                <w:rFonts w:hint="eastAsia"/>
                <w:sz w:val="24"/>
                <w:lang w:val="en-US" w:eastAsia="zh-CN"/>
              </w:rPr>
              <w:t>45.9%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7"/>
              <w:spacing w:before="79" w:line="299" w:lineRule="exact"/>
              <w:ind w:left="392" w:right="383"/>
              <w:jc w:val="center"/>
              <w:rPr>
                <w:sz w:val="24"/>
              </w:rPr>
            </w:pPr>
            <w:r>
              <w:rPr>
                <w:sz w:val="24"/>
              </w:rPr>
              <w:t>具有硕士以上（含）学位教师数及比例</w:t>
            </w:r>
          </w:p>
        </w:tc>
        <w:tc>
          <w:tcPr>
            <w:tcW w:w="3227" w:type="dxa"/>
          </w:tcPr>
          <w:p>
            <w:pPr>
              <w:pStyle w:val="17"/>
              <w:spacing w:before="79" w:line="299" w:lineRule="exact"/>
              <w:ind w:left="392" w:right="383"/>
              <w:jc w:val="center"/>
              <w:rPr>
                <w:sz w:val="24"/>
              </w:rPr>
            </w:pPr>
            <w:r>
              <w:rPr>
                <w:rFonts w:hint="eastAsia"/>
                <w:sz w:val="24"/>
                <w:lang w:val="en-US" w:eastAsia="zh-CN"/>
              </w:rPr>
              <w:t>54.2%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7"/>
              <w:spacing w:before="79" w:line="299" w:lineRule="exact"/>
              <w:ind w:left="392" w:right="383"/>
              <w:jc w:val="center"/>
              <w:rPr>
                <w:sz w:val="24"/>
              </w:rPr>
            </w:pPr>
            <w:r>
              <w:rPr>
                <w:sz w:val="24"/>
              </w:rPr>
              <w:t>具有博士学位教师数及比例</w:t>
            </w:r>
          </w:p>
        </w:tc>
        <w:tc>
          <w:tcPr>
            <w:tcW w:w="3227" w:type="dxa"/>
          </w:tcPr>
          <w:p>
            <w:pPr>
              <w:pStyle w:val="17"/>
              <w:spacing w:before="79" w:line="299" w:lineRule="exact"/>
              <w:ind w:left="392" w:right="383"/>
              <w:jc w:val="center"/>
              <w:rPr>
                <w:sz w:val="24"/>
              </w:rPr>
            </w:pPr>
            <w:r>
              <w:rPr>
                <w:rFonts w:hint="eastAsia"/>
                <w:sz w:val="24"/>
                <w:lang w:val="en-US" w:eastAsia="zh-CN"/>
              </w:rPr>
              <w:t>29.2%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7"/>
              <w:spacing w:before="79" w:line="299" w:lineRule="exact"/>
              <w:ind w:left="392" w:right="383"/>
              <w:jc w:val="center"/>
              <w:rPr>
                <w:sz w:val="24"/>
              </w:rPr>
            </w:pPr>
            <w:r>
              <w:rPr>
                <w:sz w:val="24"/>
              </w:rPr>
              <w:t>35 岁以下青年教师数及比例</w:t>
            </w:r>
          </w:p>
        </w:tc>
        <w:tc>
          <w:tcPr>
            <w:tcW w:w="3227" w:type="dxa"/>
          </w:tcPr>
          <w:p>
            <w:pPr>
              <w:pStyle w:val="17"/>
              <w:spacing w:before="79" w:line="299" w:lineRule="exact"/>
              <w:ind w:left="392" w:right="383"/>
              <w:jc w:val="center"/>
              <w:rPr>
                <w:rFonts w:hint="default" w:eastAsia="宋体"/>
                <w:sz w:val="24"/>
                <w:lang w:val="en-US" w:eastAsia="zh-CN"/>
              </w:rPr>
            </w:pPr>
            <w:r>
              <w:rPr>
                <w:rFonts w:hint="eastAsia"/>
                <w:sz w:val="24"/>
                <w:lang w:val="en-US" w:eastAsia="zh-CN"/>
              </w:rPr>
              <w:t>16.7%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6347" w:type="dxa"/>
          </w:tcPr>
          <w:p>
            <w:pPr>
              <w:pStyle w:val="17"/>
              <w:spacing w:before="79" w:line="299" w:lineRule="exact"/>
              <w:ind w:left="392" w:right="383"/>
              <w:jc w:val="center"/>
              <w:rPr>
                <w:sz w:val="24"/>
              </w:rPr>
            </w:pPr>
            <w:r>
              <w:rPr>
                <w:sz w:val="24"/>
              </w:rPr>
              <w:t>36-55 岁教师数及比例</w:t>
            </w:r>
          </w:p>
        </w:tc>
        <w:tc>
          <w:tcPr>
            <w:tcW w:w="3227" w:type="dxa"/>
          </w:tcPr>
          <w:p>
            <w:pPr>
              <w:pStyle w:val="17"/>
              <w:spacing w:before="79" w:line="299" w:lineRule="exact"/>
              <w:ind w:left="392" w:right="383"/>
              <w:jc w:val="center"/>
              <w:rPr>
                <w:rFonts w:hint="default"/>
                <w:sz w:val="24"/>
                <w:lang w:val="en-US" w:eastAsia="zh-CN"/>
              </w:rPr>
            </w:pPr>
            <w:r>
              <w:rPr>
                <w:rFonts w:hint="eastAsia"/>
                <w:sz w:val="24"/>
                <w:lang w:val="en-US" w:eastAsia="zh-CN"/>
              </w:rPr>
              <w:t>87.5%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7"/>
              <w:spacing w:before="79" w:line="299" w:lineRule="exact"/>
              <w:ind w:left="392" w:right="383"/>
              <w:jc w:val="center"/>
              <w:rPr>
                <w:rFonts w:hint="eastAsia"/>
                <w:sz w:val="24"/>
                <w:lang w:val="en-US" w:eastAsia="zh-CN"/>
              </w:rPr>
            </w:pPr>
            <w:r>
              <w:rPr>
                <w:rFonts w:hint="eastAsia"/>
                <w:sz w:val="24"/>
                <w:lang w:val="en-US" w:eastAsia="zh-CN"/>
              </w:rPr>
              <w:t>兼职/专职教师比例</w:t>
            </w:r>
          </w:p>
        </w:tc>
        <w:tc>
          <w:tcPr>
            <w:tcW w:w="3227" w:type="dxa"/>
          </w:tcPr>
          <w:p>
            <w:pPr>
              <w:pStyle w:val="17"/>
              <w:spacing w:before="79" w:line="299" w:lineRule="exact"/>
              <w:ind w:left="392" w:right="383"/>
              <w:jc w:val="center"/>
              <w:rPr>
                <w:rFonts w:hint="eastAsia"/>
                <w:sz w:val="24"/>
                <w:lang w:val="en-US" w:eastAsia="zh-CN"/>
              </w:rPr>
            </w:pPr>
            <w:r>
              <w:rPr>
                <w:rFonts w:hint="eastAsia"/>
                <w:sz w:val="24"/>
                <w:lang w:val="en-US" w:eastAsia="zh-CN"/>
              </w:rPr>
              <w:t>兼职29.2%，</w:t>
            </w:r>
          </w:p>
          <w:p>
            <w:pPr>
              <w:pStyle w:val="17"/>
              <w:spacing w:before="79" w:line="299" w:lineRule="exact"/>
              <w:ind w:left="392" w:right="383"/>
              <w:jc w:val="center"/>
              <w:rPr>
                <w:rFonts w:hint="default"/>
                <w:sz w:val="24"/>
                <w:lang w:val="en-US" w:eastAsia="zh-CN"/>
              </w:rPr>
            </w:pPr>
            <w:r>
              <w:rPr>
                <w:rFonts w:hint="eastAsia"/>
                <w:sz w:val="24"/>
                <w:lang w:val="en-US" w:eastAsia="zh-CN"/>
              </w:rPr>
              <w:t>专职70.8%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7"/>
              <w:spacing w:before="79" w:line="299" w:lineRule="exact"/>
              <w:ind w:left="392" w:right="383"/>
              <w:jc w:val="center"/>
              <w:rPr>
                <w:rFonts w:hint="eastAsia"/>
                <w:sz w:val="24"/>
                <w:lang w:val="en-US" w:eastAsia="zh-CN"/>
              </w:rPr>
            </w:pPr>
            <w:r>
              <w:rPr>
                <w:rFonts w:hint="eastAsia"/>
                <w:sz w:val="24"/>
                <w:lang w:val="en-US" w:eastAsia="zh-CN"/>
              </w:rPr>
              <w:t>专业核心课程门数</w:t>
            </w:r>
          </w:p>
        </w:tc>
        <w:tc>
          <w:tcPr>
            <w:tcW w:w="3227" w:type="dxa"/>
          </w:tcPr>
          <w:p>
            <w:pPr>
              <w:pStyle w:val="17"/>
              <w:spacing w:before="79" w:line="299" w:lineRule="exact"/>
              <w:ind w:left="392" w:right="383"/>
              <w:jc w:val="center"/>
              <w:rPr>
                <w:rFonts w:hint="eastAsia"/>
                <w:sz w:val="24"/>
                <w:lang w:val="en-US" w:eastAsia="zh-CN"/>
              </w:rPr>
            </w:pPr>
            <w:r>
              <w:rPr>
                <w:rFonts w:hint="eastAsia"/>
                <w:sz w:val="24"/>
                <w:lang w:val="en-US" w:eastAsia="zh-CN"/>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7"/>
              <w:spacing w:before="79" w:line="299" w:lineRule="exact"/>
              <w:ind w:left="392" w:right="383"/>
              <w:jc w:val="center"/>
              <w:rPr>
                <w:rFonts w:hint="eastAsia"/>
                <w:sz w:val="24"/>
                <w:lang w:val="en-US" w:eastAsia="zh-CN"/>
              </w:rPr>
            </w:pPr>
            <w:r>
              <w:rPr>
                <w:rFonts w:hint="eastAsia"/>
                <w:sz w:val="24"/>
                <w:lang w:val="en-US" w:eastAsia="zh-CN"/>
              </w:rPr>
              <w:t>专业核心课程任课教师数</w:t>
            </w:r>
          </w:p>
        </w:tc>
        <w:tc>
          <w:tcPr>
            <w:tcW w:w="3227" w:type="dxa"/>
          </w:tcPr>
          <w:p>
            <w:pPr>
              <w:pStyle w:val="17"/>
              <w:spacing w:before="79" w:line="299" w:lineRule="exact"/>
              <w:ind w:left="392" w:right="383"/>
              <w:jc w:val="center"/>
              <w:rPr>
                <w:rFonts w:hint="default"/>
                <w:sz w:val="24"/>
                <w:lang w:val="en-US" w:eastAsia="zh-CN"/>
              </w:rPr>
            </w:pPr>
            <w:r>
              <w:rPr>
                <w:rFonts w:hint="eastAsia"/>
                <w:sz w:val="24"/>
                <w:lang w:val="en-US" w:eastAsia="zh-CN"/>
              </w:rPr>
              <w:t>12</w:t>
            </w:r>
          </w:p>
        </w:tc>
      </w:tr>
    </w:tbl>
    <w:p>
      <w:pPr>
        <w:pStyle w:val="16"/>
        <w:numPr>
          <w:ilvl w:val="1"/>
          <w:numId w:val="2"/>
        </w:numPr>
        <w:tabs>
          <w:tab w:val="left" w:pos="714"/>
        </w:tabs>
        <w:spacing w:before="197"/>
        <w:ind w:hanging="496"/>
        <w:rPr>
          <w:sz w:val="24"/>
        </w:rPr>
      </w:pPr>
      <w:r>
        <w:rPr>
          <w:rFonts w:hint="eastAsia" w:ascii="Microsoft JhengHei" w:eastAsia="Microsoft JhengHei"/>
          <w:b/>
          <w:sz w:val="28"/>
        </w:rPr>
        <w:t>教师基本情况表</w:t>
      </w:r>
    </w:p>
    <w:p>
      <w:pPr>
        <w:spacing w:before="4"/>
        <w:rPr>
          <w:sz w:val="5"/>
        </w:rPr>
      </w:pPr>
    </w:p>
    <w:tbl>
      <w:tblPr>
        <w:tblStyle w:val="15"/>
        <w:tblW w:w="9563"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0"/>
        <w:gridCol w:w="652"/>
        <w:gridCol w:w="933"/>
        <w:gridCol w:w="991"/>
        <w:gridCol w:w="1175"/>
        <w:gridCol w:w="1223"/>
        <w:gridCol w:w="1225"/>
        <w:gridCol w:w="1226"/>
        <w:gridCol w:w="661"/>
        <w:gridCol w:w="8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650" w:type="dxa"/>
          </w:tcPr>
          <w:p>
            <w:pPr>
              <w:pStyle w:val="17"/>
              <w:spacing w:line="421" w:lineRule="exact"/>
              <w:ind w:left="203"/>
              <w:rPr>
                <w:rFonts w:ascii="Microsoft JhengHei" w:eastAsia="Microsoft JhengHei"/>
                <w:b/>
                <w:color w:val="auto"/>
                <w:sz w:val="24"/>
              </w:rPr>
            </w:pPr>
            <w:r>
              <w:rPr>
                <w:rFonts w:hint="eastAsia" w:ascii="Microsoft JhengHei" w:eastAsia="Microsoft JhengHei"/>
                <w:b/>
                <w:color w:val="auto"/>
                <w:sz w:val="24"/>
              </w:rPr>
              <w:t>姓</w:t>
            </w:r>
          </w:p>
          <w:p>
            <w:pPr>
              <w:pStyle w:val="17"/>
              <w:spacing w:line="360" w:lineRule="exact"/>
              <w:ind w:left="203"/>
              <w:rPr>
                <w:rFonts w:ascii="Microsoft JhengHei" w:eastAsia="Microsoft JhengHei"/>
                <w:b/>
                <w:color w:val="auto"/>
                <w:sz w:val="24"/>
              </w:rPr>
            </w:pPr>
            <w:r>
              <w:rPr>
                <w:rFonts w:hint="eastAsia" w:ascii="Microsoft JhengHei" w:eastAsia="Microsoft JhengHei"/>
                <w:b/>
                <w:color w:val="auto"/>
                <w:sz w:val="24"/>
              </w:rPr>
              <w:t>名</w:t>
            </w:r>
          </w:p>
        </w:tc>
        <w:tc>
          <w:tcPr>
            <w:tcW w:w="652" w:type="dxa"/>
          </w:tcPr>
          <w:p>
            <w:pPr>
              <w:pStyle w:val="17"/>
              <w:spacing w:line="421" w:lineRule="exact"/>
              <w:ind w:left="204"/>
              <w:rPr>
                <w:rFonts w:ascii="Microsoft JhengHei" w:eastAsia="Microsoft JhengHei"/>
                <w:b/>
                <w:color w:val="auto"/>
                <w:sz w:val="24"/>
              </w:rPr>
            </w:pPr>
            <w:r>
              <w:rPr>
                <w:rFonts w:hint="eastAsia" w:ascii="Microsoft JhengHei" w:eastAsia="Microsoft JhengHei"/>
                <w:b/>
                <w:color w:val="auto"/>
                <w:sz w:val="24"/>
              </w:rPr>
              <w:t>性</w:t>
            </w:r>
          </w:p>
          <w:p>
            <w:pPr>
              <w:pStyle w:val="17"/>
              <w:spacing w:line="360" w:lineRule="exact"/>
              <w:ind w:left="204"/>
              <w:rPr>
                <w:rFonts w:ascii="Microsoft JhengHei" w:eastAsia="Microsoft JhengHei"/>
                <w:b/>
                <w:color w:val="auto"/>
                <w:sz w:val="24"/>
              </w:rPr>
            </w:pPr>
            <w:r>
              <w:rPr>
                <w:rFonts w:hint="eastAsia" w:ascii="Microsoft JhengHei" w:eastAsia="Microsoft JhengHei"/>
                <w:b/>
                <w:color w:val="auto"/>
                <w:sz w:val="24"/>
              </w:rPr>
              <w:t>别</w:t>
            </w:r>
          </w:p>
        </w:tc>
        <w:tc>
          <w:tcPr>
            <w:tcW w:w="933" w:type="dxa"/>
          </w:tcPr>
          <w:p>
            <w:pPr>
              <w:pStyle w:val="17"/>
              <w:spacing w:line="421" w:lineRule="exact"/>
              <w:ind w:left="224"/>
              <w:rPr>
                <w:rFonts w:ascii="Microsoft JhengHei" w:eastAsia="Microsoft JhengHei"/>
                <w:b/>
                <w:color w:val="auto"/>
                <w:sz w:val="24"/>
              </w:rPr>
            </w:pPr>
            <w:r>
              <w:rPr>
                <w:rFonts w:hint="eastAsia" w:ascii="Microsoft JhengHei" w:eastAsia="Microsoft JhengHei"/>
                <w:b/>
                <w:color w:val="auto"/>
                <w:sz w:val="24"/>
              </w:rPr>
              <w:t>出生</w:t>
            </w:r>
          </w:p>
          <w:p>
            <w:pPr>
              <w:pStyle w:val="17"/>
              <w:spacing w:line="360" w:lineRule="exact"/>
              <w:ind w:left="224"/>
              <w:rPr>
                <w:rFonts w:ascii="Microsoft JhengHei" w:eastAsia="Microsoft JhengHei"/>
                <w:b/>
                <w:color w:val="auto"/>
                <w:sz w:val="24"/>
              </w:rPr>
            </w:pPr>
            <w:r>
              <w:rPr>
                <w:rFonts w:hint="eastAsia" w:ascii="Microsoft JhengHei" w:eastAsia="Microsoft JhengHei"/>
                <w:b/>
                <w:color w:val="auto"/>
                <w:sz w:val="24"/>
              </w:rPr>
              <w:t>年月</w:t>
            </w:r>
          </w:p>
        </w:tc>
        <w:tc>
          <w:tcPr>
            <w:tcW w:w="991" w:type="dxa"/>
          </w:tcPr>
          <w:p>
            <w:pPr>
              <w:pStyle w:val="17"/>
              <w:spacing w:line="421" w:lineRule="exact"/>
              <w:ind w:left="254"/>
              <w:rPr>
                <w:rFonts w:ascii="Microsoft JhengHei" w:eastAsia="Microsoft JhengHei"/>
                <w:b/>
                <w:color w:val="auto"/>
                <w:sz w:val="24"/>
              </w:rPr>
            </w:pPr>
            <w:r>
              <w:rPr>
                <w:rFonts w:hint="eastAsia" w:ascii="Microsoft JhengHei" w:eastAsia="Microsoft JhengHei"/>
                <w:b/>
                <w:color w:val="auto"/>
                <w:sz w:val="24"/>
              </w:rPr>
              <w:t>拟授</w:t>
            </w:r>
          </w:p>
          <w:p>
            <w:pPr>
              <w:pStyle w:val="17"/>
              <w:spacing w:line="360" w:lineRule="exact"/>
              <w:ind w:left="254"/>
              <w:rPr>
                <w:rFonts w:ascii="Microsoft JhengHei" w:eastAsia="Microsoft JhengHei"/>
                <w:b/>
                <w:color w:val="auto"/>
                <w:sz w:val="24"/>
              </w:rPr>
            </w:pPr>
            <w:r>
              <w:rPr>
                <w:rFonts w:hint="eastAsia" w:ascii="Microsoft JhengHei" w:eastAsia="Microsoft JhengHei"/>
                <w:b/>
                <w:color w:val="auto"/>
                <w:sz w:val="24"/>
              </w:rPr>
              <w:t>课程</w:t>
            </w:r>
          </w:p>
        </w:tc>
        <w:tc>
          <w:tcPr>
            <w:tcW w:w="1175" w:type="dxa"/>
          </w:tcPr>
          <w:p>
            <w:pPr>
              <w:pStyle w:val="17"/>
              <w:spacing w:line="421" w:lineRule="exact"/>
              <w:ind w:left="225"/>
              <w:rPr>
                <w:rFonts w:ascii="Microsoft JhengHei" w:eastAsia="Microsoft JhengHei"/>
                <w:b/>
                <w:color w:val="auto"/>
                <w:sz w:val="24"/>
              </w:rPr>
            </w:pPr>
            <w:r>
              <w:rPr>
                <w:rFonts w:hint="eastAsia" w:ascii="Microsoft JhengHei" w:eastAsia="Microsoft JhengHei"/>
                <w:b/>
                <w:color w:val="auto"/>
                <w:sz w:val="24"/>
              </w:rPr>
              <w:t>专业技</w:t>
            </w:r>
          </w:p>
          <w:p>
            <w:pPr>
              <w:pStyle w:val="17"/>
              <w:spacing w:line="360" w:lineRule="exact"/>
              <w:ind w:left="225"/>
              <w:rPr>
                <w:rFonts w:ascii="Microsoft JhengHei" w:eastAsia="Microsoft JhengHei"/>
                <w:b/>
                <w:color w:val="auto"/>
                <w:sz w:val="24"/>
              </w:rPr>
            </w:pPr>
            <w:r>
              <w:rPr>
                <w:rFonts w:hint="eastAsia" w:ascii="Microsoft JhengHei" w:eastAsia="Microsoft JhengHei"/>
                <w:b/>
                <w:color w:val="auto"/>
                <w:sz w:val="24"/>
              </w:rPr>
              <w:t>术职务</w:t>
            </w:r>
          </w:p>
        </w:tc>
        <w:tc>
          <w:tcPr>
            <w:tcW w:w="1223" w:type="dxa"/>
          </w:tcPr>
          <w:p>
            <w:pPr>
              <w:pStyle w:val="17"/>
              <w:spacing w:line="421" w:lineRule="exact"/>
              <w:ind w:left="132"/>
              <w:rPr>
                <w:rFonts w:ascii="Microsoft JhengHei" w:eastAsia="Microsoft JhengHei"/>
                <w:b/>
                <w:color w:val="auto"/>
                <w:sz w:val="24"/>
              </w:rPr>
            </w:pPr>
            <w:r>
              <w:rPr>
                <w:rFonts w:hint="eastAsia" w:ascii="Microsoft JhengHei" w:eastAsia="Microsoft JhengHei"/>
                <w:b/>
                <w:color w:val="auto"/>
                <w:sz w:val="24"/>
              </w:rPr>
              <w:t>最后学历</w:t>
            </w:r>
          </w:p>
          <w:p>
            <w:pPr>
              <w:pStyle w:val="17"/>
              <w:spacing w:line="360" w:lineRule="exact"/>
              <w:ind w:left="132"/>
              <w:rPr>
                <w:rFonts w:ascii="Microsoft JhengHei" w:eastAsia="Microsoft JhengHei"/>
                <w:b/>
                <w:color w:val="auto"/>
                <w:sz w:val="24"/>
              </w:rPr>
            </w:pPr>
            <w:r>
              <w:rPr>
                <w:rFonts w:hint="eastAsia" w:ascii="Microsoft JhengHei" w:eastAsia="Microsoft JhengHei"/>
                <w:b/>
                <w:color w:val="auto"/>
                <w:sz w:val="24"/>
              </w:rPr>
              <w:t>毕业学校</w:t>
            </w:r>
          </w:p>
        </w:tc>
        <w:tc>
          <w:tcPr>
            <w:tcW w:w="1225" w:type="dxa"/>
          </w:tcPr>
          <w:p>
            <w:pPr>
              <w:pStyle w:val="17"/>
              <w:spacing w:line="421" w:lineRule="exact"/>
              <w:ind w:left="134"/>
              <w:rPr>
                <w:rFonts w:ascii="Microsoft JhengHei" w:eastAsia="Microsoft JhengHei"/>
                <w:b/>
                <w:color w:val="auto"/>
                <w:sz w:val="24"/>
              </w:rPr>
            </w:pPr>
            <w:r>
              <w:rPr>
                <w:rFonts w:hint="eastAsia" w:ascii="Microsoft JhengHei" w:eastAsia="Microsoft JhengHei"/>
                <w:b/>
                <w:color w:val="auto"/>
                <w:sz w:val="24"/>
              </w:rPr>
              <w:t>最后学历</w:t>
            </w:r>
          </w:p>
          <w:p>
            <w:pPr>
              <w:pStyle w:val="17"/>
              <w:spacing w:line="360" w:lineRule="exact"/>
              <w:ind w:left="134"/>
              <w:rPr>
                <w:rFonts w:ascii="Microsoft JhengHei" w:eastAsia="Microsoft JhengHei"/>
                <w:b/>
                <w:color w:val="auto"/>
                <w:sz w:val="24"/>
              </w:rPr>
            </w:pPr>
            <w:r>
              <w:rPr>
                <w:rFonts w:hint="eastAsia" w:ascii="Microsoft JhengHei" w:eastAsia="Microsoft JhengHei"/>
                <w:b/>
                <w:color w:val="auto"/>
                <w:sz w:val="24"/>
              </w:rPr>
              <w:t>毕业专业</w:t>
            </w:r>
          </w:p>
        </w:tc>
        <w:tc>
          <w:tcPr>
            <w:tcW w:w="1226" w:type="dxa"/>
          </w:tcPr>
          <w:p>
            <w:pPr>
              <w:pStyle w:val="17"/>
              <w:spacing w:line="421" w:lineRule="exact"/>
              <w:ind w:left="135"/>
              <w:rPr>
                <w:rFonts w:ascii="Microsoft JhengHei" w:eastAsia="Microsoft JhengHei"/>
                <w:b/>
                <w:color w:val="auto"/>
                <w:sz w:val="24"/>
              </w:rPr>
            </w:pPr>
            <w:r>
              <w:rPr>
                <w:rFonts w:hint="eastAsia" w:ascii="Microsoft JhengHei" w:eastAsia="Microsoft JhengHei"/>
                <w:b/>
                <w:color w:val="auto"/>
                <w:sz w:val="24"/>
              </w:rPr>
              <w:t>最后学历</w:t>
            </w:r>
          </w:p>
          <w:p>
            <w:pPr>
              <w:pStyle w:val="17"/>
              <w:spacing w:line="360" w:lineRule="exact"/>
              <w:ind w:left="135"/>
              <w:rPr>
                <w:rFonts w:ascii="Microsoft JhengHei" w:eastAsia="Microsoft JhengHei"/>
                <w:b/>
                <w:color w:val="auto"/>
                <w:sz w:val="24"/>
              </w:rPr>
            </w:pPr>
            <w:r>
              <w:rPr>
                <w:rFonts w:hint="eastAsia" w:ascii="Microsoft JhengHei" w:eastAsia="Microsoft JhengHei"/>
                <w:b/>
                <w:color w:val="auto"/>
                <w:sz w:val="24"/>
              </w:rPr>
              <w:t>毕业学位</w:t>
            </w:r>
          </w:p>
        </w:tc>
        <w:tc>
          <w:tcPr>
            <w:tcW w:w="661" w:type="dxa"/>
          </w:tcPr>
          <w:p>
            <w:pPr>
              <w:pStyle w:val="17"/>
              <w:spacing w:line="421" w:lineRule="exact"/>
              <w:ind w:left="95"/>
              <w:rPr>
                <w:rFonts w:ascii="Microsoft JhengHei" w:eastAsia="Microsoft JhengHei"/>
                <w:b/>
                <w:color w:val="auto"/>
                <w:sz w:val="24"/>
              </w:rPr>
            </w:pPr>
            <w:r>
              <w:rPr>
                <w:rFonts w:hint="eastAsia" w:ascii="Microsoft JhengHei" w:eastAsia="Microsoft JhengHei"/>
                <w:b/>
                <w:color w:val="auto"/>
                <w:sz w:val="24"/>
              </w:rPr>
              <w:t>研究</w:t>
            </w:r>
          </w:p>
          <w:p>
            <w:pPr>
              <w:pStyle w:val="17"/>
              <w:spacing w:line="360" w:lineRule="exact"/>
              <w:ind w:left="95"/>
              <w:rPr>
                <w:rFonts w:ascii="Microsoft JhengHei" w:eastAsia="Microsoft JhengHei"/>
                <w:b/>
                <w:color w:val="auto"/>
                <w:sz w:val="24"/>
              </w:rPr>
            </w:pPr>
            <w:r>
              <w:rPr>
                <w:rFonts w:hint="eastAsia" w:ascii="Microsoft JhengHei" w:eastAsia="Microsoft JhengHei"/>
                <w:b/>
                <w:color w:val="auto"/>
                <w:sz w:val="24"/>
              </w:rPr>
              <w:t>领域</w:t>
            </w:r>
          </w:p>
        </w:tc>
        <w:tc>
          <w:tcPr>
            <w:tcW w:w="827" w:type="dxa"/>
          </w:tcPr>
          <w:p>
            <w:pPr>
              <w:pStyle w:val="17"/>
              <w:spacing w:line="421" w:lineRule="exact"/>
              <w:ind w:left="231"/>
              <w:rPr>
                <w:rFonts w:ascii="Microsoft JhengHei" w:eastAsia="Microsoft JhengHei"/>
                <w:b/>
                <w:color w:val="auto"/>
                <w:sz w:val="24"/>
              </w:rPr>
            </w:pPr>
            <w:r>
              <w:rPr>
                <w:rFonts w:hint="eastAsia" w:ascii="Microsoft JhengHei" w:eastAsia="Microsoft JhengHei"/>
                <w:b/>
                <w:color w:val="auto"/>
                <w:sz w:val="24"/>
              </w:rPr>
              <w:t>专职</w:t>
            </w:r>
          </w:p>
          <w:p>
            <w:pPr>
              <w:pStyle w:val="17"/>
              <w:spacing w:line="360" w:lineRule="exact"/>
              <w:ind w:left="198"/>
              <w:rPr>
                <w:rFonts w:ascii="Microsoft JhengHei" w:eastAsia="Microsoft JhengHei"/>
                <w:b/>
                <w:color w:val="auto"/>
                <w:sz w:val="24"/>
              </w:rPr>
            </w:pPr>
            <w:r>
              <w:rPr>
                <w:rFonts w:ascii="Times New Roman" w:eastAsia="Times New Roman"/>
                <w:b/>
                <w:color w:val="auto"/>
                <w:sz w:val="24"/>
              </w:rPr>
              <w:t>/</w:t>
            </w:r>
            <w:r>
              <w:rPr>
                <w:rFonts w:hint="eastAsia" w:ascii="Microsoft JhengHei" w:eastAsia="Microsoft JhengHei"/>
                <w:b/>
                <w:color w:val="auto"/>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诸丹</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男</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酒店管理  概论</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教授</w:t>
            </w:r>
          </w:p>
        </w:tc>
        <w:tc>
          <w:tcPr>
            <w:tcW w:w="1223" w:type="dxa"/>
            <w:vAlign w:val="top"/>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西南民族大学</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旅游管理</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硕士研究生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练红宇</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女</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市场营销</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教授</w:t>
            </w:r>
          </w:p>
        </w:tc>
        <w:tc>
          <w:tcPr>
            <w:tcW w:w="1223" w:type="dxa"/>
            <w:vAlign w:val="top"/>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四川大学</w:t>
            </w:r>
          </w:p>
        </w:tc>
        <w:tc>
          <w:tcPr>
            <w:tcW w:w="1225" w:type="dxa"/>
            <w:vAlign w:val="top"/>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旅游管理</w:t>
            </w:r>
          </w:p>
        </w:tc>
        <w:tc>
          <w:tcPr>
            <w:tcW w:w="1226" w:type="dxa"/>
            <w:vAlign w:val="top"/>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硕士研究生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唐建兵</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男</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酒店财务  管理</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教授</w:t>
            </w:r>
          </w:p>
        </w:tc>
        <w:tc>
          <w:tcPr>
            <w:tcW w:w="1223"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 xml:space="preserve"> 四川大学</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国民经济管理</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硕士研究生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邹高禄</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男</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酒店管理  概论</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教授</w:t>
            </w:r>
          </w:p>
        </w:tc>
        <w:tc>
          <w:tcPr>
            <w:tcW w:w="1223"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 xml:space="preserve">香港大学    </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区域经济</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博士研究生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王小红</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女</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酒店运营  管理</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教授</w:t>
            </w:r>
          </w:p>
        </w:tc>
        <w:tc>
          <w:tcPr>
            <w:tcW w:w="1223" w:type="dxa"/>
            <w:vAlign w:val="top"/>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 xml:space="preserve">四川农业大学   </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区域经济学</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 xml:space="preserve"> 博士研究生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刘  婕</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女</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酒店客户  管理</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副教授</w:t>
            </w:r>
          </w:p>
        </w:tc>
        <w:tc>
          <w:tcPr>
            <w:tcW w:w="1223" w:type="dxa"/>
            <w:vAlign w:val="top"/>
          </w:tcPr>
          <w:p>
            <w:pPr>
              <w:keepNext w:val="0"/>
              <w:keepLines w:val="0"/>
              <w:widowControl/>
              <w:suppressLineNumbers w:val="0"/>
              <w:jc w:val="both"/>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 xml:space="preserve">四川大学   </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世界经济</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博士研究生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岑  乔</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女</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旅游消费者行为</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副教授</w:t>
            </w:r>
          </w:p>
        </w:tc>
        <w:tc>
          <w:tcPr>
            <w:tcW w:w="1223"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四川师范大学</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 xml:space="preserve">学校教育    </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硕士研究生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袁  力</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男</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管理学</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副教授</w:t>
            </w:r>
          </w:p>
        </w:tc>
        <w:tc>
          <w:tcPr>
            <w:tcW w:w="1223" w:type="dxa"/>
            <w:vAlign w:val="top"/>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四川大学</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经济学</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硕士研究生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徐  茜</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女</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市场营销</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副教授</w:t>
            </w:r>
          </w:p>
        </w:tc>
        <w:tc>
          <w:tcPr>
            <w:tcW w:w="1223" w:type="dxa"/>
            <w:vAlign w:val="top"/>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四川师范大学</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 xml:space="preserve">教育学      </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硕士研究生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林  忠</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男</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旅游目的地管理</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副教授</w:t>
            </w:r>
          </w:p>
        </w:tc>
        <w:tc>
          <w:tcPr>
            <w:tcW w:w="1223" w:type="dxa"/>
            <w:vAlign w:val="top"/>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四川师范大学</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地理</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学士</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黄玉理</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女</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酒店运营管理</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副教授</w:t>
            </w:r>
          </w:p>
        </w:tc>
        <w:tc>
          <w:tcPr>
            <w:tcW w:w="1223" w:type="dxa"/>
            <w:vAlign w:val="top"/>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北京第二外国语学院</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旅游管理</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硕士研究生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何方永</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女</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旅游学概论</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副教授</w:t>
            </w:r>
          </w:p>
        </w:tc>
        <w:tc>
          <w:tcPr>
            <w:tcW w:w="1223" w:type="dxa"/>
            <w:vAlign w:val="top"/>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成都理工大学</w:t>
            </w:r>
          </w:p>
        </w:tc>
        <w:tc>
          <w:tcPr>
            <w:tcW w:w="1225" w:type="dxa"/>
          </w:tcPr>
          <w:p>
            <w:pPr>
              <w:pStyle w:val="17"/>
              <w:rPr>
                <w:rFonts w:ascii="Times New Roman"/>
                <w:color w:val="auto"/>
                <w:sz w:val="24"/>
              </w:rPr>
            </w:pPr>
            <w:r>
              <w:rPr>
                <w:rFonts w:hint="eastAsia" w:cs="宋体"/>
                <w:i w:val="0"/>
                <w:color w:val="auto"/>
                <w:kern w:val="0"/>
                <w:sz w:val="20"/>
                <w:szCs w:val="20"/>
                <w:u w:val="none"/>
                <w:lang w:val="en-US" w:eastAsia="zh-CN" w:bidi="ar"/>
              </w:rPr>
              <w:t>旅游管理</w:t>
            </w:r>
            <w:r>
              <w:rPr>
                <w:rFonts w:hint="eastAsia" w:ascii="宋体" w:hAnsi="宋体" w:eastAsia="宋体" w:cs="宋体"/>
                <w:i w:val="0"/>
                <w:color w:val="auto"/>
                <w:kern w:val="0"/>
                <w:sz w:val="20"/>
                <w:szCs w:val="20"/>
                <w:u w:val="none"/>
                <w:lang w:val="en-US" w:eastAsia="zh-CN" w:bidi="ar"/>
              </w:rPr>
              <w:t xml:space="preserve">      </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博士研究生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陈颖</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男</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旅游接待业</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讲师</w:t>
            </w:r>
          </w:p>
        </w:tc>
        <w:tc>
          <w:tcPr>
            <w:tcW w:w="1223"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四川农业大学</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 xml:space="preserve">森林培育    </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博士研究生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魏兰</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女</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服务与社交礼仪</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讲师</w:t>
            </w:r>
          </w:p>
        </w:tc>
        <w:tc>
          <w:tcPr>
            <w:tcW w:w="1223" w:type="dxa"/>
            <w:vAlign w:val="top"/>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四川师范大学</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教育学</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学士</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邹宏玉</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女</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酒店设计与布局</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讲师</w:t>
            </w:r>
          </w:p>
        </w:tc>
        <w:tc>
          <w:tcPr>
            <w:tcW w:w="1223" w:type="dxa"/>
            <w:vAlign w:val="top"/>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四川美术学院</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景观环境设计</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硕士研究生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刘大均</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男</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旅游电子商务</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讲师</w:t>
            </w:r>
          </w:p>
        </w:tc>
        <w:tc>
          <w:tcPr>
            <w:tcW w:w="1223" w:type="dxa"/>
            <w:vAlign w:val="top"/>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华中师范大学</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 xml:space="preserve">人文地理    </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博士研究生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王岑涅</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男</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酒店设计与布局</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讲师</w:t>
            </w:r>
          </w:p>
        </w:tc>
        <w:tc>
          <w:tcPr>
            <w:tcW w:w="1223"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四川农业大学</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 xml:space="preserve">森林培育    </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硕士研究生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鲍小伟</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男</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酒店运营  管理、供应链管理</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国家星级酒店评定员</w:t>
            </w:r>
          </w:p>
        </w:tc>
        <w:tc>
          <w:tcPr>
            <w:tcW w:w="1223"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 xml:space="preserve">西南民族大学   </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酒店管理</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硕士研究生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李志勇</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男</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酒品与饮料</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教授</w:t>
            </w:r>
          </w:p>
        </w:tc>
        <w:tc>
          <w:tcPr>
            <w:tcW w:w="1223"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四川大学、</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旅游管理</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博士研究生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李原</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男</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酒店房务 管理</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教授</w:t>
            </w:r>
          </w:p>
        </w:tc>
        <w:tc>
          <w:tcPr>
            <w:tcW w:w="1223"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四川大学</w:t>
            </w:r>
          </w:p>
        </w:tc>
        <w:tc>
          <w:tcPr>
            <w:tcW w:w="1225" w:type="dxa"/>
            <w:vAlign w:val="top"/>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旅游管理</w:t>
            </w:r>
          </w:p>
        </w:tc>
        <w:tc>
          <w:tcPr>
            <w:tcW w:w="1226" w:type="dxa"/>
            <w:vAlign w:val="top"/>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博士研究生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马桃</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女</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酒店客户管理</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无</w:t>
            </w:r>
          </w:p>
        </w:tc>
        <w:tc>
          <w:tcPr>
            <w:tcW w:w="1223"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 xml:space="preserve">西南民族大学   </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酒店管理</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硕士研究生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李锦涛</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女</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酒店人力资源管理</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无</w:t>
            </w:r>
          </w:p>
        </w:tc>
        <w:tc>
          <w:tcPr>
            <w:tcW w:w="1223"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成都银杏酒店管理学院、</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酒店管理</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学士</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冯薇</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女</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公共营养学</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无</w:t>
            </w:r>
          </w:p>
        </w:tc>
        <w:tc>
          <w:tcPr>
            <w:tcW w:w="1223"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 xml:space="preserve">成都理工大学   </w:t>
            </w:r>
          </w:p>
        </w:tc>
        <w:tc>
          <w:tcPr>
            <w:tcW w:w="1225"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旅游管理</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硕士研究生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黄晓菲</w:t>
            </w:r>
          </w:p>
        </w:tc>
        <w:tc>
          <w:tcPr>
            <w:tcW w:w="652"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女</w:t>
            </w:r>
          </w:p>
        </w:tc>
        <w:tc>
          <w:tcPr>
            <w:tcW w:w="933" w:type="dxa"/>
          </w:tcPr>
          <w:p>
            <w:pPr>
              <w:pStyle w:val="17"/>
              <w:rPr>
                <w:rFonts w:ascii="Times New Roman"/>
                <w:color w:val="auto"/>
                <w:sz w:val="24"/>
              </w:rPr>
            </w:pPr>
          </w:p>
        </w:tc>
        <w:tc>
          <w:tcPr>
            <w:tcW w:w="991"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茶艺与茶道</w:t>
            </w:r>
          </w:p>
        </w:tc>
        <w:tc>
          <w:tcPr>
            <w:tcW w:w="1175" w:type="dxa"/>
            <w:vAlign w:val="center"/>
          </w:tcPr>
          <w:p>
            <w:pPr>
              <w:keepNext w:val="0"/>
              <w:keepLines w:val="0"/>
              <w:widowControl/>
              <w:suppressLineNumbers w:val="0"/>
              <w:jc w:val="center"/>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副教授</w:t>
            </w:r>
          </w:p>
        </w:tc>
        <w:tc>
          <w:tcPr>
            <w:tcW w:w="1223" w:type="dxa"/>
            <w:vAlign w:val="center"/>
          </w:tcPr>
          <w:p>
            <w:pPr>
              <w:keepNext w:val="0"/>
              <w:keepLines w:val="0"/>
              <w:widowControl/>
              <w:suppressLineNumbers w:val="0"/>
              <w:jc w:val="both"/>
              <w:textAlignment w:val="center"/>
              <w:rPr>
                <w:rFonts w:ascii="Times New Roman"/>
                <w:color w:val="auto"/>
                <w:sz w:val="24"/>
              </w:rPr>
            </w:pPr>
            <w:r>
              <w:rPr>
                <w:rFonts w:hint="eastAsia" w:ascii="宋体" w:hAnsi="宋体" w:eastAsia="宋体" w:cs="宋体"/>
                <w:i w:val="0"/>
                <w:color w:val="auto"/>
                <w:kern w:val="0"/>
                <w:sz w:val="20"/>
                <w:szCs w:val="20"/>
                <w:u w:val="none"/>
                <w:lang w:val="en-US" w:eastAsia="zh-CN" w:bidi="ar"/>
              </w:rPr>
              <w:t xml:space="preserve">四川师范大学   </w:t>
            </w:r>
          </w:p>
        </w:tc>
        <w:tc>
          <w:tcPr>
            <w:tcW w:w="1225" w:type="dxa"/>
          </w:tcPr>
          <w:p>
            <w:pPr>
              <w:pStyle w:val="17"/>
              <w:rPr>
                <w:rFonts w:ascii="Times New Roman"/>
                <w:color w:val="auto"/>
                <w:sz w:val="24"/>
              </w:rPr>
            </w:pPr>
            <w:r>
              <w:rPr>
                <w:rFonts w:hint="eastAsia" w:cs="宋体"/>
                <w:i w:val="0"/>
                <w:color w:val="auto"/>
                <w:kern w:val="0"/>
                <w:sz w:val="20"/>
                <w:szCs w:val="20"/>
                <w:u w:val="none"/>
                <w:lang w:val="en-US" w:eastAsia="zh-CN" w:bidi="ar"/>
              </w:rPr>
              <w:t>旅游</w:t>
            </w:r>
            <w:r>
              <w:rPr>
                <w:rFonts w:hint="eastAsia" w:ascii="宋体" w:hAnsi="宋体" w:eastAsia="宋体" w:cs="宋体"/>
                <w:i w:val="0"/>
                <w:color w:val="auto"/>
                <w:kern w:val="0"/>
                <w:sz w:val="20"/>
                <w:szCs w:val="20"/>
                <w:u w:val="none"/>
                <w:lang w:val="en-US" w:eastAsia="zh-CN" w:bidi="ar"/>
              </w:rPr>
              <w:t>管理</w:t>
            </w:r>
          </w:p>
        </w:tc>
        <w:tc>
          <w:tcPr>
            <w:tcW w:w="1226" w:type="dxa"/>
          </w:tcPr>
          <w:p>
            <w:pPr>
              <w:pStyle w:val="17"/>
              <w:rPr>
                <w:rFonts w:ascii="Times New Roman"/>
                <w:color w:val="auto"/>
                <w:sz w:val="24"/>
              </w:rPr>
            </w:pPr>
            <w:r>
              <w:rPr>
                <w:rFonts w:hint="eastAsia" w:ascii="宋体" w:hAnsi="宋体" w:eastAsia="宋体" w:cs="宋体"/>
                <w:i w:val="0"/>
                <w:color w:val="auto"/>
                <w:kern w:val="0"/>
                <w:sz w:val="20"/>
                <w:szCs w:val="20"/>
                <w:u w:val="none"/>
                <w:lang w:val="en-US" w:eastAsia="zh-CN" w:bidi="ar"/>
              </w:rPr>
              <w:t>硕士研究生</w:t>
            </w:r>
          </w:p>
        </w:tc>
        <w:tc>
          <w:tcPr>
            <w:tcW w:w="661" w:type="dxa"/>
          </w:tcPr>
          <w:p>
            <w:pPr>
              <w:pStyle w:val="17"/>
              <w:rPr>
                <w:rFonts w:ascii="Times New Roman"/>
                <w:color w:val="auto"/>
                <w:sz w:val="24"/>
              </w:rPr>
            </w:pPr>
          </w:p>
        </w:tc>
        <w:tc>
          <w:tcPr>
            <w:tcW w:w="827" w:type="dxa"/>
          </w:tcPr>
          <w:p>
            <w:pPr>
              <w:pStyle w:val="17"/>
              <w:rPr>
                <w:rFonts w:ascii="Times New Roman"/>
                <w:color w:val="auto"/>
                <w:sz w:val="24"/>
              </w:rPr>
            </w:pPr>
          </w:p>
        </w:tc>
      </w:tr>
    </w:tbl>
    <w:p>
      <w:pPr>
        <w:spacing w:before="197"/>
        <w:ind w:left="218"/>
        <w:rPr>
          <w:sz w:val="24"/>
        </w:rPr>
      </w:pPr>
      <w:r>
        <w:rPr>
          <w:rFonts w:hint="eastAsia" w:ascii="Microsoft JhengHei" w:eastAsia="Microsoft JhengHei"/>
          <w:b/>
          <w:w w:val="110"/>
          <w:sz w:val="28"/>
        </w:rPr>
        <w:t>4.3.专业核心课程表</w:t>
      </w:r>
    </w:p>
    <w:p>
      <w:pPr>
        <w:spacing w:before="4"/>
        <w:rPr>
          <w:sz w:val="5"/>
        </w:rPr>
      </w:pPr>
    </w:p>
    <w:tbl>
      <w:tblPr>
        <w:tblStyle w:val="15"/>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48"/>
        <w:gridCol w:w="1287"/>
        <w:gridCol w:w="1097"/>
        <w:gridCol w:w="2343"/>
        <w:gridCol w:w="12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3548" w:type="dxa"/>
          </w:tcPr>
          <w:p>
            <w:pPr>
              <w:pStyle w:val="17"/>
              <w:spacing w:before="191"/>
              <w:ind w:left="1273" w:right="1265"/>
              <w:jc w:val="center"/>
              <w:rPr>
                <w:rFonts w:ascii="Microsoft JhengHei" w:eastAsia="Microsoft JhengHei"/>
                <w:b/>
                <w:sz w:val="24"/>
              </w:rPr>
            </w:pPr>
            <w:r>
              <w:rPr>
                <w:rFonts w:hint="eastAsia" w:ascii="Microsoft JhengHei" w:eastAsia="Microsoft JhengHei"/>
                <w:b/>
                <w:sz w:val="24"/>
              </w:rPr>
              <w:t>课程名称</w:t>
            </w:r>
          </w:p>
        </w:tc>
        <w:tc>
          <w:tcPr>
            <w:tcW w:w="1287" w:type="dxa"/>
          </w:tcPr>
          <w:p>
            <w:pPr>
              <w:pStyle w:val="17"/>
              <w:spacing w:before="128" w:line="170" w:lineRule="auto"/>
              <w:ind w:left="280" w:right="272" w:firstLine="120"/>
              <w:rPr>
                <w:rFonts w:ascii="Microsoft JhengHei" w:eastAsia="Microsoft JhengHei"/>
                <w:b/>
                <w:sz w:val="24"/>
              </w:rPr>
            </w:pPr>
            <w:r>
              <w:rPr>
                <w:rFonts w:hint="eastAsia" w:ascii="Microsoft JhengHei" w:eastAsia="Microsoft JhengHei"/>
                <w:b/>
                <w:sz w:val="24"/>
              </w:rPr>
              <w:t>课程总学时</w:t>
            </w:r>
          </w:p>
        </w:tc>
        <w:tc>
          <w:tcPr>
            <w:tcW w:w="1097" w:type="dxa"/>
          </w:tcPr>
          <w:p>
            <w:pPr>
              <w:pStyle w:val="17"/>
              <w:spacing w:before="128" w:line="170" w:lineRule="auto"/>
              <w:ind w:left="186" w:right="176" w:firstLine="120"/>
              <w:rPr>
                <w:rFonts w:ascii="Microsoft JhengHei" w:eastAsia="Microsoft JhengHei"/>
                <w:b/>
                <w:sz w:val="24"/>
              </w:rPr>
            </w:pPr>
            <w:r>
              <w:rPr>
                <w:rFonts w:hint="eastAsia" w:ascii="Microsoft JhengHei" w:eastAsia="Microsoft JhengHei"/>
                <w:b/>
                <w:sz w:val="24"/>
              </w:rPr>
              <w:t>课程周学时</w:t>
            </w:r>
          </w:p>
        </w:tc>
        <w:tc>
          <w:tcPr>
            <w:tcW w:w="2343" w:type="dxa"/>
          </w:tcPr>
          <w:p>
            <w:pPr>
              <w:pStyle w:val="17"/>
              <w:spacing w:before="191"/>
              <w:ind w:left="565"/>
              <w:rPr>
                <w:rFonts w:ascii="Microsoft JhengHei" w:eastAsia="Microsoft JhengHei"/>
                <w:b/>
                <w:sz w:val="24"/>
              </w:rPr>
            </w:pPr>
            <w:r>
              <w:rPr>
                <w:rFonts w:hint="eastAsia" w:ascii="Microsoft JhengHei" w:eastAsia="Microsoft JhengHei"/>
                <w:b/>
                <w:sz w:val="24"/>
              </w:rPr>
              <w:t>拟授课教师</w:t>
            </w:r>
          </w:p>
        </w:tc>
        <w:tc>
          <w:tcPr>
            <w:tcW w:w="1299" w:type="dxa"/>
          </w:tcPr>
          <w:p>
            <w:pPr>
              <w:pStyle w:val="17"/>
              <w:spacing w:before="191"/>
              <w:ind w:left="162"/>
              <w:rPr>
                <w:rFonts w:ascii="Microsoft JhengHei" w:eastAsia="Microsoft JhengHei"/>
                <w:b/>
                <w:sz w:val="24"/>
              </w:rPr>
            </w:pPr>
            <w:r>
              <w:rPr>
                <w:rFonts w:hint="eastAsia" w:ascii="Microsoft JhengHei" w:eastAsia="Microsoft JhengHei"/>
                <w:b/>
                <w:sz w:val="24"/>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3548" w:type="dxa"/>
          </w:tcPr>
          <w:p>
            <w:pPr>
              <w:pStyle w:val="17"/>
              <w:rPr>
                <w:rFonts w:ascii="Times New Roman"/>
                <w:sz w:val="24"/>
              </w:rPr>
            </w:pPr>
            <w:r>
              <w:rPr>
                <w:rFonts w:hint="eastAsia"/>
                <w:sz w:val="24"/>
              </w:rPr>
              <w:t>旅游目的地管理</w:t>
            </w:r>
          </w:p>
        </w:tc>
        <w:tc>
          <w:tcPr>
            <w:tcW w:w="1287" w:type="dxa"/>
          </w:tcPr>
          <w:p>
            <w:pPr>
              <w:pStyle w:val="17"/>
              <w:rPr>
                <w:rFonts w:hint="default" w:ascii="Times New Roman" w:eastAsia="宋体"/>
                <w:sz w:val="24"/>
                <w:lang w:val="en-US" w:eastAsia="zh-CN"/>
              </w:rPr>
            </w:pPr>
            <w:r>
              <w:rPr>
                <w:rFonts w:hint="eastAsia" w:ascii="Times New Roman"/>
                <w:sz w:val="24"/>
                <w:lang w:val="en-US" w:eastAsia="zh-CN"/>
              </w:rPr>
              <w:t>54</w:t>
            </w:r>
          </w:p>
        </w:tc>
        <w:tc>
          <w:tcPr>
            <w:tcW w:w="1097" w:type="dxa"/>
          </w:tcPr>
          <w:p>
            <w:pPr>
              <w:pStyle w:val="17"/>
              <w:rPr>
                <w:rFonts w:hint="eastAsia" w:ascii="Times New Roman" w:eastAsia="宋体"/>
                <w:sz w:val="24"/>
                <w:lang w:val="en-US" w:eastAsia="zh-CN"/>
              </w:rPr>
            </w:pPr>
            <w:r>
              <w:rPr>
                <w:rFonts w:hint="eastAsia" w:ascii="Times New Roman"/>
                <w:sz w:val="24"/>
                <w:lang w:val="en-US" w:eastAsia="zh-CN"/>
              </w:rPr>
              <w:t>4</w:t>
            </w:r>
          </w:p>
        </w:tc>
        <w:tc>
          <w:tcPr>
            <w:tcW w:w="2343" w:type="dxa"/>
          </w:tcPr>
          <w:p>
            <w:pPr>
              <w:pStyle w:val="17"/>
              <w:rPr>
                <w:rFonts w:hint="eastAsia" w:ascii="Times New Roman" w:eastAsia="宋体"/>
                <w:sz w:val="24"/>
                <w:lang w:eastAsia="zh-CN"/>
              </w:rPr>
            </w:pPr>
            <w:r>
              <w:rPr>
                <w:rFonts w:hint="eastAsia" w:ascii="Times New Roman"/>
                <w:sz w:val="24"/>
                <w:lang w:eastAsia="zh-CN"/>
              </w:rPr>
              <w:t>林忠、邹高禄</w:t>
            </w:r>
          </w:p>
        </w:tc>
        <w:tc>
          <w:tcPr>
            <w:tcW w:w="1299" w:type="dxa"/>
          </w:tcPr>
          <w:p>
            <w:pPr>
              <w:pStyle w:val="17"/>
              <w:rPr>
                <w:rFonts w:hint="eastAsia" w:ascii="Times New Roman" w:eastAsia="宋体"/>
                <w:sz w:val="24"/>
                <w:lang w:val="en-US" w:eastAsia="zh-CN"/>
              </w:rPr>
            </w:pPr>
            <w:r>
              <w:rPr>
                <w:rFonts w:hint="eastAsia" w:ascii="Times New Roman"/>
                <w:sz w:val="24"/>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tcPr>
          <w:p>
            <w:pPr>
              <w:pStyle w:val="17"/>
              <w:rPr>
                <w:rFonts w:ascii="Times New Roman"/>
                <w:sz w:val="24"/>
              </w:rPr>
            </w:pPr>
            <w:r>
              <w:rPr>
                <w:rFonts w:hint="eastAsia"/>
                <w:sz w:val="24"/>
              </w:rPr>
              <w:t>旅游学概论</w:t>
            </w:r>
          </w:p>
        </w:tc>
        <w:tc>
          <w:tcPr>
            <w:tcW w:w="1287" w:type="dxa"/>
          </w:tcPr>
          <w:p>
            <w:pPr>
              <w:pStyle w:val="17"/>
              <w:rPr>
                <w:rFonts w:hint="default" w:ascii="Times New Roman" w:eastAsia="宋体"/>
                <w:sz w:val="24"/>
                <w:lang w:val="en-US" w:eastAsia="zh-CN"/>
              </w:rPr>
            </w:pPr>
            <w:r>
              <w:rPr>
                <w:rFonts w:hint="eastAsia" w:ascii="Times New Roman"/>
                <w:sz w:val="24"/>
                <w:lang w:val="en-US" w:eastAsia="zh-CN"/>
              </w:rPr>
              <w:t>54</w:t>
            </w:r>
          </w:p>
        </w:tc>
        <w:tc>
          <w:tcPr>
            <w:tcW w:w="1097" w:type="dxa"/>
          </w:tcPr>
          <w:p>
            <w:pPr>
              <w:pStyle w:val="17"/>
              <w:rPr>
                <w:rFonts w:hint="eastAsia" w:ascii="Times New Roman" w:eastAsia="宋体"/>
                <w:sz w:val="24"/>
                <w:lang w:val="en-US" w:eastAsia="zh-CN"/>
              </w:rPr>
            </w:pPr>
            <w:r>
              <w:rPr>
                <w:rFonts w:hint="eastAsia" w:ascii="Times New Roman"/>
                <w:sz w:val="24"/>
                <w:lang w:val="en-US" w:eastAsia="zh-CN"/>
              </w:rPr>
              <w:t>4</w:t>
            </w:r>
          </w:p>
        </w:tc>
        <w:tc>
          <w:tcPr>
            <w:tcW w:w="2343" w:type="dxa"/>
          </w:tcPr>
          <w:p>
            <w:pPr>
              <w:pStyle w:val="17"/>
              <w:rPr>
                <w:rFonts w:ascii="Times New Roman"/>
                <w:sz w:val="24"/>
              </w:rPr>
            </w:pPr>
            <w:r>
              <w:rPr>
                <w:rFonts w:hint="eastAsia" w:ascii="Times New Roman"/>
                <w:sz w:val="24"/>
                <w:lang w:eastAsia="zh-CN"/>
              </w:rPr>
              <w:t>何方永</w:t>
            </w:r>
          </w:p>
        </w:tc>
        <w:tc>
          <w:tcPr>
            <w:tcW w:w="1299" w:type="dxa"/>
          </w:tcPr>
          <w:p>
            <w:pPr>
              <w:pStyle w:val="17"/>
              <w:rPr>
                <w:rFonts w:hint="eastAsia" w:ascii="Times New Roman" w:eastAsia="宋体"/>
                <w:sz w:val="24"/>
                <w:lang w:val="en-US" w:eastAsia="zh-CN"/>
              </w:rPr>
            </w:pPr>
            <w:r>
              <w:rPr>
                <w:rFonts w:hint="eastAsia" w:ascii="Times New Roman"/>
                <w:sz w:val="24"/>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tcPr>
          <w:p>
            <w:pPr>
              <w:pStyle w:val="17"/>
              <w:rPr>
                <w:rFonts w:hint="eastAsia" w:eastAsia="宋体"/>
                <w:sz w:val="24"/>
                <w:lang w:eastAsia="zh-CN"/>
              </w:rPr>
            </w:pPr>
            <w:r>
              <w:rPr>
                <w:rFonts w:hint="eastAsia"/>
                <w:sz w:val="24"/>
                <w:lang w:eastAsia="zh-CN"/>
              </w:rPr>
              <w:t>旅游接待业</w:t>
            </w:r>
          </w:p>
        </w:tc>
        <w:tc>
          <w:tcPr>
            <w:tcW w:w="1287" w:type="dxa"/>
          </w:tcPr>
          <w:p>
            <w:pPr>
              <w:pStyle w:val="17"/>
              <w:rPr>
                <w:rFonts w:hint="default" w:ascii="Times New Roman"/>
                <w:sz w:val="24"/>
                <w:lang w:val="en-US"/>
              </w:rPr>
            </w:pPr>
            <w:r>
              <w:rPr>
                <w:rFonts w:hint="eastAsia" w:ascii="Times New Roman"/>
                <w:sz w:val="24"/>
                <w:lang w:val="en-US" w:eastAsia="zh-CN"/>
              </w:rPr>
              <w:t>54</w:t>
            </w:r>
          </w:p>
        </w:tc>
        <w:tc>
          <w:tcPr>
            <w:tcW w:w="1097" w:type="dxa"/>
          </w:tcPr>
          <w:p>
            <w:pPr>
              <w:pStyle w:val="17"/>
              <w:rPr>
                <w:rFonts w:hint="eastAsia" w:ascii="Times New Roman" w:eastAsia="宋体"/>
                <w:sz w:val="24"/>
                <w:lang w:val="en-US" w:eastAsia="zh-CN"/>
              </w:rPr>
            </w:pPr>
            <w:r>
              <w:rPr>
                <w:rFonts w:hint="eastAsia" w:ascii="Times New Roman"/>
                <w:sz w:val="24"/>
                <w:lang w:val="en-US" w:eastAsia="zh-CN"/>
              </w:rPr>
              <w:t>4</w:t>
            </w:r>
          </w:p>
        </w:tc>
        <w:tc>
          <w:tcPr>
            <w:tcW w:w="2343" w:type="dxa"/>
          </w:tcPr>
          <w:p>
            <w:pPr>
              <w:pStyle w:val="17"/>
              <w:rPr>
                <w:rFonts w:hint="eastAsia" w:ascii="Times New Roman" w:eastAsia="宋体"/>
                <w:sz w:val="24"/>
                <w:lang w:eastAsia="zh-CN"/>
              </w:rPr>
            </w:pPr>
            <w:r>
              <w:rPr>
                <w:rFonts w:hint="eastAsia" w:ascii="Times New Roman"/>
                <w:sz w:val="24"/>
                <w:lang w:eastAsia="zh-CN"/>
              </w:rPr>
              <w:t>唐建兵</w:t>
            </w:r>
          </w:p>
        </w:tc>
        <w:tc>
          <w:tcPr>
            <w:tcW w:w="1299" w:type="dxa"/>
          </w:tcPr>
          <w:p>
            <w:pPr>
              <w:pStyle w:val="17"/>
              <w:rPr>
                <w:rFonts w:hint="eastAsia" w:ascii="Times New Roman" w:eastAsia="宋体"/>
                <w:sz w:val="24"/>
                <w:lang w:val="en-US" w:eastAsia="zh-CN"/>
              </w:rPr>
            </w:pPr>
            <w:r>
              <w:rPr>
                <w:rFonts w:hint="eastAsia" w:ascii="Times New Roman"/>
                <w:sz w:val="24"/>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tcPr>
          <w:p>
            <w:pPr>
              <w:pStyle w:val="17"/>
              <w:rPr>
                <w:rFonts w:ascii="Times New Roman"/>
                <w:sz w:val="24"/>
              </w:rPr>
            </w:pPr>
          </w:p>
          <w:p>
            <w:pPr>
              <w:pStyle w:val="17"/>
              <w:rPr>
                <w:rFonts w:ascii="Times New Roman"/>
                <w:sz w:val="24"/>
              </w:rPr>
            </w:pPr>
            <w:r>
              <w:rPr>
                <w:rFonts w:hint="eastAsia"/>
                <w:sz w:val="24"/>
              </w:rPr>
              <w:t>旅游消费者行为</w:t>
            </w:r>
          </w:p>
        </w:tc>
        <w:tc>
          <w:tcPr>
            <w:tcW w:w="1287" w:type="dxa"/>
          </w:tcPr>
          <w:p>
            <w:pPr>
              <w:pStyle w:val="17"/>
              <w:rPr>
                <w:rFonts w:hint="default" w:ascii="Times New Roman"/>
                <w:sz w:val="24"/>
                <w:lang w:val="en-US"/>
              </w:rPr>
            </w:pPr>
            <w:r>
              <w:rPr>
                <w:rFonts w:hint="eastAsia" w:ascii="Times New Roman"/>
                <w:sz w:val="24"/>
                <w:lang w:val="en-US" w:eastAsia="zh-CN"/>
              </w:rPr>
              <w:t>54</w:t>
            </w:r>
          </w:p>
        </w:tc>
        <w:tc>
          <w:tcPr>
            <w:tcW w:w="1097" w:type="dxa"/>
          </w:tcPr>
          <w:p>
            <w:pPr>
              <w:pStyle w:val="17"/>
              <w:rPr>
                <w:rFonts w:hint="eastAsia" w:ascii="Times New Roman" w:eastAsia="宋体"/>
                <w:sz w:val="24"/>
                <w:lang w:val="en-US" w:eastAsia="zh-CN"/>
              </w:rPr>
            </w:pPr>
            <w:r>
              <w:rPr>
                <w:rFonts w:hint="eastAsia" w:ascii="Times New Roman"/>
                <w:sz w:val="24"/>
                <w:lang w:val="en-US" w:eastAsia="zh-CN"/>
              </w:rPr>
              <w:t>4</w:t>
            </w:r>
          </w:p>
        </w:tc>
        <w:tc>
          <w:tcPr>
            <w:tcW w:w="2343" w:type="dxa"/>
          </w:tcPr>
          <w:p>
            <w:pPr>
              <w:pStyle w:val="17"/>
              <w:rPr>
                <w:rFonts w:hint="eastAsia" w:ascii="Times New Roman" w:eastAsia="宋体"/>
                <w:sz w:val="24"/>
                <w:lang w:eastAsia="zh-CN"/>
              </w:rPr>
            </w:pPr>
            <w:r>
              <w:rPr>
                <w:rFonts w:hint="eastAsia" w:ascii="Times New Roman"/>
                <w:sz w:val="24"/>
                <w:lang w:eastAsia="zh-CN"/>
              </w:rPr>
              <w:t>岑乔、袁力</w:t>
            </w:r>
          </w:p>
        </w:tc>
        <w:tc>
          <w:tcPr>
            <w:tcW w:w="1299" w:type="dxa"/>
          </w:tcPr>
          <w:p>
            <w:pPr>
              <w:pStyle w:val="17"/>
              <w:rPr>
                <w:rFonts w:hint="eastAsia" w:ascii="Times New Roman" w:eastAsia="宋体"/>
                <w:sz w:val="24"/>
                <w:lang w:val="en-US" w:eastAsia="zh-CN"/>
              </w:rPr>
            </w:pPr>
            <w:r>
              <w:rPr>
                <w:rFonts w:hint="eastAsia" w:ascii="Times New Roman"/>
                <w:sz w:val="24"/>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tcPr>
          <w:p>
            <w:pPr>
              <w:pStyle w:val="17"/>
              <w:rPr>
                <w:rFonts w:ascii="Times New Roman"/>
                <w:sz w:val="24"/>
              </w:rPr>
            </w:pPr>
            <w:r>
              <w:rPr>
                <w:rFonts w:hint="eastAsia"/>
                <w:sz w:val="24"/>
              </w:rPr>
              <w:t>酒店管理概论</w:t>
            </w:r>
          </w:p>
        </w:tc>
        <w:tc>
          <w:tcPr>
            <w:tcW w:w="1287" w:type="dxa"/>
          </w:tcPr>
          <w:p>
            <w:pPr>
              <w:pStyle w:val="17"/>
              <w:rPr>
                <w:rFonts w:hint="default" w:ascii="Times New Roman" w:eastAsia="宋体"/>
                <w:sz w:val="24"/>
                <w:lang w:val="en-US" w:eastAsia="zh-CN"/>
              </w:rPr>
            </w:pPr>
            <w:r>
              <w:rPr>
                <w:rFonts w:hint="eastAsia" w:ascii="Times New Roman"/>
                <w:sz w:val="24"/>
                <w:lang w:val="en-US" w:eastAsia="zh-CN"/>
              </w:rPr>
              <w:t>54</w:t>
            </w:r>
          </w:p>
        </w:tc>
        <w:tc>
          <w:tcPr>
            <w:tcW w:w="1097" w:type="dxa"/>
          </w:tcPr>
          <w:p>
            <w:pPr>
              <w:pStyle w:val="17"/>
              <w:rPr>
                <w:rFonts w:hint="eastAsia" w:ascii="Times New Roman" w:eastAsia="宋体"/>
                <w:sz w:val="24"/>
                <w:lang w:val="en-US" w:eastAsia="zh-CN"/>
              </w:rPr>
            </w:pPr>
            <w:r>
              <w:rPr>
                <w:rFonts w:hint="eastAsia" w:ascii="Times New Roman"/>
                <w:sz w:val="24"/>
                <w:lang w:val="en-US" w:eastAsia="zh-CN"/>
              </w:rPr>
              <w:t>4</w:t>
            </w:r>
          </w:p>
        </w:tc>
        <w:tc>
          <w:tcPr>
            <w:tcW w:w="2343" w:type="dxa"/>
          </w:tcPr>
          <w:p>
            <w:pPr>
              <w:pStyle w:val="17"/>
              <w:rPr>
                <w:rFonts w:hint="eastAsia" w:ascii="Times New Roman" w:eastAsia="宋体"/>
                <w:sz w:val="24"/>
                <w:lang w:eastAsia="zh-CN"/>
              </w:rPr>
            </w:pPr>
            <w:r>
              <w:rPr>
                <w:rFonts w:hint="eastAsia" w:ascii="Times New Roman"/>
                <w:sz w:val="24"/>
                <w:lang w:eastAsia="zh-CN"/>
              </w:rPr>
              <w:t>诸丹、刘捷</w:t>
            </w:r>
          </w:p>
        </w:tc>
        <w:tc>
          <w:tcPr>
            <w:tcW w:w="1299" w:type="dxa"/>
          </w:tcPr>
          <w:p>
            <w:pPr>
              <w:pStyle w:val="17"/>
              <w:rPr>
                <w:rFonts w:hint="eastAsia" w:ascii="Times New Roman" w:eastAsia="宋体"/>
                <w:sz w:val="24"/>
                <w:lang w:val="en-US" w:eastAsia="zh-CN"/>
              </w:rPr>
            </w:pPr>
            <w:r>
              <w:rPr>
                <w:rFonts w:hint="eastAsia" w:ascii="Times New Roman"/>
                <w:sz w:val="24"/>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tcPr>
          <w:p>
            <w:pPr>
              <w:pStyle w:val="17"/>
              <w:rPr>
                <w:rFonts w:hint="eastAsia"/>
                <w:sz w:val="24"/>
              </w:rPr>
            </w:pPr>
            <w:r>
              <w:rPr>
                <w:rFonts w:hint="eastAsia"/>
                <w:sz w:val="24"/>
              </w:rPr>
              <w:t>酒店运营管理</w:t>
            </w:r>
          </w:p>
        </w:tc>
        <w:tc>
          <w:tcPr>
            <w:tcW w:w="1287" w:type="dxa"/>
          </w:tcPr>
          <w:p>
            <w:pPr>
              <w:pStyle w:val="17"/>
              <w:rPr>
                <w:rFonts w:hint="default" w:ascii="Times New Roman"/>
                <w:sz w:val="24"/>
                <w:lang w:val="en-US"/>
              </w:rPr>
            </w:pPr>
            <w:r>
              <w:rPr>
                <w:rFonts w:hint="eastAsia" w:ascii="Times New Roman"/>
                <w:sz w:val="24"/>
                <w:lang w:val="en-US" w:eastAsia="zh-CN"/>
              </w:rPr>
              <w:t>36</w:t>
            </w:r>
          </w:p>
        </w:tc>
        <w:tc>
          <w:tcPr>
            <w:tcW w:w="1097" w:type="dxa"/>
          </w:tcPr>
          <w:p>
            <w:pPr>
              <w:pStyle w:val="17"/>
              <w:rPr>
                <w:rFonts w:hint="eastAsia" w:ascii="Times New Roman" w:eastAsia="宋体"/>
                <w:sz w:val="24"/>
                <w:lang w:val="en-US" w:eastAsia="zh-CN"/>
              </w:rPr>
            </w:pPr>
            <w:r>
              <w:rPr>
                <w:rFonts w:hint="eastAsia" w:ascii="Times New Roman"/>
                <w:sz w:val="24"/>
                <w:lang w:val="en-US" w:eastAsia="zh-CN"/>
              </w:rPr>
              <w:t>4</w:t>
            </w:r>
          </w:p>
        </w:tc>
        <w:tc>
          <w:tcPr>
            <w:tcW w:w="2343" w:type="dxa"/>
          </w:tcPr>
          <w:p>
            <w:pPr>
              <w:pStyle w:val="17"/>
              <w:rPr>
                <w:rFonts w:hint="eastAsia" w:ascii="Times New Roman" w:eastAsia="宋体"/>
                <w:sz w:val="24"/>
                <w:lang w:eastAsia="zh-CN"/>
              </w:rPr>
            </w:pPr>
            <w:r>
              <w:rPr>
                <w:rFonts w:hint="eastAsia" w:ascii="Times New Roman"/>
                <w:sz w:val="24"/>
                <w:lang w:eastAsia="zh-CN"/>
              </w:rPr>
              <w:t>鲍小伟、黄晓菲</w:t>
            </w:r>
          </w:p>
        </w:tc>
        <w:tc>
          <w:tcPr>
            <w:tcW w:w="1299" w:type="dxa"/>
          </w:tcPr>
          <w:p>
            <w:pPr>
              <w:pStyle w:val="17"/>
              <w:rPr>
                <w:rFonts w:hint="eastAsia" w:ascii="Times New Roman" w:eastAsia="宋体"/>
                <w:sz w:val="24"/>
                <w:lang w:val="en-US" w:eastAsia="zh-CN"/>
              </w:rPr>
            </w:pPr>
            <w:r>
              <w:rPr>
                <w:rFonts w:hint="eastAsia" w:ascii="Times New Roman"/>
                <w:sz w:val="24"/>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tcPr>
          <w:p>
            <w:pPr>
              <w:pStyle w:val="17"/>
              <w:rPr>
                <w:rFonts w:ascii="Times New Roman"/>
                <w:sz w:val="24"/>
              </w:rPr>
            </w:pPr>
            <w:r>
              <w:rPr>
                <w:rFonts w:hint="eastAsia"/>
                <w:sz w:val="24"/>
              </w:rPr>
              <w:t>市场营销</w:t>
            </w:r>
          </w:p>
        </w:tc>
        <w:tc>
          <w:tcPr>
            <w:tcW w:w="1287" w:type="dxa"/>
          </w:tcPr>
          <w:p>
            <w:pPr>
              <w:pStyle w:val="17"/>
              <w:rPr>
                <w:rFonts w:hint="default" w:ascii="Times New Roman"/>
                <w:sz w:val="24"/>
                <w:lang w:val="en-US"/>
              </w:rPr>
            </w:pPr>
            <w:r>
              <w:rPr>
                <w:rFonts w:hint="eastAsia" w:ascii="Times New Roman"/>
                <w:sz w:val="24"/>
                <w:lang w:val="en-US" w:eastAsia="zh-CN"/>
              </w:rPr>
              <w:t>36</w:t>
            </w:r>
          </w:p>
        </w:tc>
        <w:tc>
          <w:tcPr>
            <w:tcW w:w="1097" w:type="dxa"/>
          </w:tcPr>
          <w:p>
            <w:pPr>
              <w:pStyle w:val="17"/>
              <w:rPr>
                <w:rFonts w:hint="eastAsia" w:ascii="Times New Roman" w:eastAsia="宋体"/>
                <w:sz w:val="24"/>
                <w:lang w:val="en-US" w:eastAsia="zh-CN"/>
              </w:rPr>
            </w:pPr>
            <w:r>
              <w:rPr>
                <w:rFonts w:hint="eastAsia" w:ascii="Times New Roman"/>
                <w:sz w:val="24"/>
                <w:lang w:val="en-US" w:eastAsia="zh-CN"/>
              </w:rPr>
              <w:t>4</w:t>
            </w:r>
          </w:p>
        </w:tc>
        <w:tc>
          <w:tcPr>
            <w:tcW w:w="2343" w:type="dxa"/>
          </w:tcPr>
          <w:p>
            <w:pPr>
              <w:pStyle w:val="17"/>
              <w:rPr>
                <w:rFonts w:hint="eastAsia" w:ascii="Times New Roman" w:eastAsia="宋体"/>
                <w:sz w:val="24"/>
                <w:lang w:eastAsia="zh-CN"/>
              </w:rPr>
            </w:pPr>
            <w:r>
              <w:rPr>
                <w:rFonts w:hint="eastAsia" w:ascii="Times New Roman"/>
                <w:sz w:val="24"/>
                <w:lang w:eastAsia="zh-CN"/>
              </w:rPr>
              <w:t>徐茜</w:t>
            </w:r>
          </w:p>
        </w:tc>
        <w:tc>
          <w:tcPr>
            <w:tcW w:w="1299" w:type="dxa"/>
          </w:tcPr>
          <w:p>
            <w:pPr>
              <w:pStyle w:val="17"/>
              <w:rPr>
                <w:rFonts w:hint="eastAsia" w:ascii="Times New Roman" w:eastAsia="宋体"/>
                <w:sz w:val="24"/>
                <w:lang w:val="en-US" w:eastAsia="zh-CN"/>
              </w:rPr>
            </w:pPr>
            <w:r>
              <w:rPr>
                <w:rFonts w:hint="eastAsia" w:ascii="Times New Roman"/>
                <w:sz w:val="24"/>
                <w:lang w:val="en-US" w:eastAsia="zh-CN"/>
              </w:rPr>
              <w:t>4</w:t>
            </w:r>
          </w:p>
        </w:tc>
      </w:tr>
    </w:tbl>
    <w:p>
      <w:pPr>
        <w:rPr>
          <w:rFonts w:ascii="Times New Roman"/>
          <w:sz w:val="24"/>
        </w:rPr>
        <w:sectPr>
          <w:headerReference r:id="rId4" w:type="default"/>
          <w:pgSz w:w="11910" w:h="16840"/>
          <w:pgMar w:top="1760" w:right="660" w:bottom="280" w:left="1200" w:header="1409" w:footer="0" w:gutter="0"/>
          <w:cols w:space="720" w:num="1"/>
        </w:sectPr>
      </w:pPr>
    </w:p>
    <w:p>
      <w:pPr>
        <w:rPr>
          <w:sz w:val="20"/>
        </w:rPr>
      </w:pPr>
    </w:p>
    <w:p>
      <w:pPr>
        <w:spacing w:before="5"/>
        <w:rPr>
          <w:sz w:val="21"/>
        </w:rPr>
      </w:pPr>
    </w:p>
    <w:tbl>
      <w:tblPr>
        <w:tblStyle w:val="15"/>
        <w:tblW w:w="957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tcPr>
          <w:p>
            <w:pPr>
              <w:pStyle w:val="17"/>
              <w:spacing w:before="14" w:line="306" w:lineRule="exact"/>
              <w:ind w:left="239"/>
              <w:rPr>
                <w:sz w:val="24"/>
              </w:rPr>
            </w:pPr>
            <w:r>
              <w:rPr>
                <w:sz w:val="24"/>
              </w:rPr>
              <w:t>姓名</w:t>
            </w:r>
          </w:p>
        </w:tc>
        <w:tc>
          <w:tcPr>
            <w:tcW w:w="1438" w:type="dxa"/>
          </w:tcPr>
          <w:p>
            <w:pPr>
              <w:pStyle w:val="17"/>
              <w:rPr>
                <w:rFonts w:ascii="Times New Roman"/>
                <w:sz w:val="24"/>
              </w:rPr>
            </w:pPr>
            <w:r>
              <w:rPr>
                <w:rFonts w:hint="eastAsia" w:ascii="Times New Roman"/>
                <w:sz w:val="24"/>
              </w:rPr>
              <w:t>诸丹</w:t>
            </w:r>
          </w:p>
        </w:tc>
        <w:tc>
          <w:tcPr>
            <w:tcW w:w="1246" w:type="dxa"/>
            <w:gridSpan w:val="2"/>
          </w:tcPr>
          <w:p>
            <w:pPr>
              <w:pStyle w:val="17"/>
              <w:spacing w:before="14" w:line="306" w:lineRule="exact"/>
              <w:ind w:left="381"/>
              <w:rPr>
                <w:sz w:val="24"/>
              </w:rPr>
            </w:pPr>
            <w:r>
              <w:rPr>
                <w:sz w:val="24"/>
              </w:rPr>
              <w:t>性别</w:t>
            </w:r>
          </w:p>
        </w:tc>
        <w:tc>
          <w:tcPr>
            <w:tcW w:w="879" w:type="dxa"/>
          </w:tcPr>
          <w:p>
            <w:pPr>
              <w:pStyle w:val="17"/>
              <w:rPr>
                <w:rFonts w:ascii="Times New Roman"/>
                <w:sz w:val="24"/>
              </w:rPr>
            </w:pPr>
            <w:r>
              <w:rPr>
                <w:rFonts w:hint="eastAsia" w:ascii="Times New Roman"/>
                <w:sz w:val="24"/>
              </w:rPr>
              <w:t>男</w:t>
            </w:r>
          </w:p>
        </w:tc>
        <w:tc>
          <w:tcPr>
            <w:tcW w:w="1720" w:type="dxa"/>
            <w:gridSpan w:val="2"/>
          </w:tcPr>
          <w:p>
            <w:pPr>
              <w:pStyle w:val="17"/>
              <w:spacing w:before="14" w:line="306" w:lineRule="exact"/>
              <w:ind w:left="138"/>
              <w:rPr>
                <w:sz w:val="24"/>
              </w:rPr>
            </w:pPr>
            <w:r>
              <w:rPr>
                <w:sz w:val="24"/>
              </w:rPr>
              <w:t>专业技术职务</w:t>
            </w:r>
          </w:p>
        </w:tc>
        <w:tc>
          <w:tcPr>
            <w:tcW w:w="1112" w:type="dxa"/>
            <w:gridSpan w:val="2"/>
          </w:tcPr>
          <w:p>
            <w:pPr>
              <w:pStyle w:val="17"/>
              <w:rPr>
                <w:rFonts w:ascii="Times New Roman"/>
                <w:sz w:val="24"/>
              </w:rPr>
            </w:pPr>
            <w:r>
              <w:rPr>
                <w:rFonts w:hint="eastAsia" w:ascii="Times New Roman"/>
                <w:sz w:val="24"/>
              </w:rPr>
              <w:t>教授</w:t>
            </w:r>
          </w:p>
        </w:tc>
        <w:tc>
          <w:tcPr>
            <w:tcW w:w="1229" w:type="dxa"/>
          </w:tcPr>
          <w:p>
            <w:pPr>
              <w:pStyle w:val="17"/>
              <w:spacing w:before="14" w:line="306" w:lineRule="exact"/>
              <w:ind w:left="131"/>
              <w:rPr>
                <w:sz w:val="24"/>
              </w:rPr>
            </w:pPr>
            <w:r>
              <w:rPr>
                <w:sz w:val="24"/>
              </w:rPr>
              <w:t>行政职务</w:t>
            </w:r>
          </w:p>
        </w:tc>
        <w:tc>
          <w:tcPr>
            <w:tcW w:w="992" w:type="dxa"/>
          </w:tcPr>
          <w:p>
            <w:pPr>
              <w:pStyle w:val="17"/>
              <w:rPr>
                <w:rFonts w:ascii="Times New Roman"/>
                <w:sz w:val="24"/>
              </w:rPr>
            </w:pPr>
            <w:r>
              <w:rPr>
                <w:rFonts w:hint="eastAsia" w:ascii="Times New Roman"/>
                <w:sz w:val="24"/>
              </w:rPr>
              <w:t>院长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tcPr>
          <w:p>
            <w:pPr>
              <w:pStyle w:val="17"/>
              <w:spacing w:line="307" w:lineRule="exact"/>
              <w:ind w:left="99" w:right="90"/>
              <w:jc w:val="center"/>
              <w:rPr>
                <w:sz w:val="24"/>
              </w:rPr>
            </w:pPr>
            <w:r>
              <w:rPr>
                <w:sz w:val="24"/>
              </w:rPr>
              <w:t>拟承担</w:t>
            </w:r>
          </w:p>
          <w:p>
            <w:pPr>
              <w:pStyle w:val="17"/>
              <w:spacing w:before="4" w:line="292" w:lineRule="exact"/>
              <w:ind w:left="99" w:right="90"/>
              <w:jc w:val="center"/>
              <w:rPr>
                <w:sz w:val="24"/>
              </w:rPr>
            </w:pPr>
            <w:r>
              <w:rPr>
                <w:sz w:val="24"/>
              </w:rPr>
              <w:t>课程</w:t>
            </w:r>
          </w:p>
        </w:tc>
        <w:tc>
          <w:tcPr>
            <w:tcW w:w="3563" w:type="dxa"/>
            <w:gridSpan w:val="4"/>
          </w:tcPr>
          <w:p>
            <w:pPr>
              <w:pStyle w:val="17"/>
              <w:spacing w:before="158"/>
              <w:ind w:firstLine="240" w:firstLineChars="100"/>
              <w:rPr>
                <w:rFonts w:ascii="Times New Roman"/>
                <w:sz w:val="24"/>
              </w:rPr>
            </w:pPr>
            <w:r>
              <w:rPr>
                <w:rFonts w:hint="eastAsia"/>
                <w:sz w:val="24"/>
              </w:rPr>
              <w:t>旅游规划</w:t>
            </w:r>
          </w:p>
        </w:tc>
        <w:tc>
          <w:tcPr>
            <w:tcW w:w="1720" w:type="dxa"/>
            <w:gridSpan w:val="2"/>
          </w:tcPr>
          <w:p>
            <w:pPr>
              <w:pStyle w:val="17"/>
              <w:spacing w:before="155"/>
              <w:ind w:left="138"/>
              <w:rPr>
                <w:sz w:val="24"/>
              </w:rPr>
            </w:pPr>
            <w:r>
              <w:rPr>
                <w:sz w:val="24"/>
              </w:rPr>
              <w:t>现在所在单位</w:t>
            </w:r>
          </w:p>
        </w:tc>
        <w:tc>
          <w:tcPr>
            <w:tcW w:w="3333" w:type="dxa"/>
            <w:gridSpan w:val="4"/>
          </w:tcPr>
          <w:p>
            <w:pPr>
              <w:pStyle w:val="17"/>
              <w:spacing w:before="158"/>
              <w:ind w:firstLine="240" w:firstLineChars="100"/>
              <w:rPr>
                <w:rFonts w:ascii="Times New Roman"/>
                <w:sz w:val="24"/>
              </w:rPr>
            </w:pPr>
            <w:r>
              <w:rPr>
                <w:rFonts w:hint="eastAsia"/>
                <w:sz w:val="24"/>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7"/>
              <w:spacing w:line="307" w:lineRule="exact"/>
              <w:ind w:left="107"/>
              <w:rPr>
                <w:sz w:val="24"/>
              </w:rPr>
            </w:pPr>
            <w:r>
              <w:rPr>
                <w:sz w:val="24"/>
              </w:rPr>
              <w:t>最后学历毕业时间、</w:t>
            </w:r>
          </w:p>
          <w:p>
            <w:pPr>
              <w:pStyle w:val="17"/>
              <w:spacing w:before="4" w:line="292" w:lineRule="exact"/>
              <w:ind w:left="777"/>
              <w:rPr>
                <w:sz w:val="24"/>
              </w:rPr>
            </w:pPr>
            <w:r>
              <w:rPr>
                <w:sz w:val="24"/>
              </w:rPr>
              <w:t>学校、专业</w:t>
            </w:r>
          </w:p>
        </w:tc>
        <w:tc>
          <w:tcPr>
            <w:tcW w:w="6921" w:type="dxa"/>
            <w:gridSpan w:val="8"/>
          </w:tcPr>
          <w:p>
            <w:pPr>
              <w:pStyle w:val="17"/>
              <w:spacing w:before="158"/>
              <w:ind w:firstLine="240" w:firstLineChars="100"/>
              <w:rPr>
                <w:rFonts w:hint="eastAsia" w:ascii="Times New Roman" w:eastAsia="宋体"/>
                <w:sz w:val="24"/>
                <w:lang w:eastAsia="zh-CN"/>
              </w:rPr>
            </w:pPr>
            <w:r>
              <w:rPr>
                <w:rFonts w:hint="eastAsia"/>
                <w:sz w:val="24"/>
              </w:rPr>
              <w:t>硕士、1995年、西南民族大学、</w:t>
            </w:r>
            <w:r>
              <w:rPr>
                <w:rFonts w:hint="eastAsia"/>
                <w:sz w:val="24"/>
                <w:lang w:eastAsia="zh-CN"/>
              </w:rPr>
              <w:t>旅游管理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tcPr>
          <w:p>
            <w:pPr>
              <w:pStyle w:val="17"/>
              <w:spacing w:before="158"/>
              <w:ind w:left="606"/>
              <w:rPr>
                <w:sz w:val="24"/>
              </w:rPr>
            </w:pPr>
            <w:r>
              <w:rPr>
                <w:sz w:val="24"/>
              </w:rPr>
              <w:t>主要研究方向</w:t>
            </w:r>
          </w:p>
        </w:tc>
        <w:tc>
          <w:tcPr>
            <w:tcW w:w="6921" w:type="dxa"/>
            <w:gridSpan w:val="8"/>
          </w:tcPr>
          <w:p>
            <w:pPr>
              <w:pStyle w:val="17"/>
              <w:spacing w:before="158"/>
              <w:ind w:firstLine="240" w:firstLineChars="100"/>
              <w:rPr>
                <w:rFonts w:ascii="Times New Roman"/>
                <w:sz w:val="24"/>
              </w:rPr>
            </w:pPr>
            <w:r>
              <w:rPr>
                <w:rFonts w:hint="eastAsia"/>
                <w:sz w:val="24"/>
              </w:rPr>
              <w:t>旅游规划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tcPr>
          <w:p>
            <w:pPr>
              <w:pStyle w:val="17"/>
              <w:spacing w:line="244" w:lineRule="auto"/>
              <w:ind w:left="126" w:right="117"/>
              <w:jc w:val="both"/>
              <w:rPr>
                <w:sz w:val="24"/>
              </w:rPr>
            </w:pPr>
            <w:r>
              <w:rPr>
                <w:sz w:val="24"/>
              </w:rPr>
              <w:t>从事教育教学改革研究及获奖情况（含教改项目、研究论文、慕课、</w:t>
            </w:r>
          </w:p>
          <w:p>
            <w:pPr>
              <w:pStyle w:val="17"/>
              <w:spacing w:line="287" w:lineRule="exact"/>
              <w:ind w:left="846"/>
              <w:rPr>
                <w:sz w:val="24"/>
              </w:rPr>
            </w:pPr>
            <w:r>
              <w:rPr>
                <w:sz w:val="24"/>
              </w:rPr>
              <w:t>教材等）</w:t>
            </w:r>
          </w:p>
        </w:tc>
        <w:tc>
          <w:tcPr>
            <w:tcW w:w="6921" w:type="dxa"/>
            <w:gridSpan w:val="8"/>
          </w:tcPr>
          <w:p>
            <w:pPr>
              <w:pStyle w:val="17"/>
              <w:spacing w:before="48" w:beforeLines="20"/>
              <w:rPr>
                <w:rFonts w:ascii="Times New Roman"/>
                <w:sz w:val="21"/>
                <w:szCs w:val="21"/>
              </w:rPr>
            </w:pPr>
            <w:r>
              <w:rPr>
                <w:rFonts w:hint="eastAsia" w:ascii="Times New Roman"/>
                <w:sz w:val="21"/>
                <w:szCs w:val="21"/>
              </w:rPr>
              <w:t>1. 跨学科构建文化创意人才培养新模式，四川省教学成果三等奖，四川省教育厅，2014年；</w:t>
            </w:r>
          </w:p>
          <w:p>
            <w:pPr>
              <w:pStyle w:val="17"/>
              <w:spacing w:before="48" w:beforeLines="20"/>
              <w:rPr>
                <w:rFonts w:ascii="Times New Roman"/>
                <w:sz w:val="21"/>
                <w:szCs w:val="21"/>
              </w:rPr>
            </w:pPr>
            <w:r>
              <w:rPr>
                <w:rFonts w:hint="eastAsia" w:ascii="Times New Roman"/>
                <w:sz w:val="21"/>
                <w:szCs w:val="21"/>
              </w:rPr>
              <w:t>2. 旅游管理专业，四川省专业综合改革项目，四川省教育厅，2014年；</w:t>
            </w:r>
          </w:p>
          <w:p>
            <w:pPr>
              <w:pStyle w:val="17"/>
              <w:spacing w:before="48" w:beforeLines="20"/>
              <w:rPr>
                <w:rFonts w:ascii="Times New Roman"/>
                <w:sz w:val="21"/>
                <w:szCs w:val="21"/>
              </w:rPr>
            </w:pPr>
            <w:r>
              <w:rPr>
                <w:rFonts w:hint="eastAsia" w:ascii="Times New Roman"/>
                <w:sz w:val="21"/>
                <w:szCs w:val="21"/>
              </w:rPr>
              <w:t>3. 创意型旅游，四川省人才培养模式创新实验区，四川省教育厅，2010年。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7"/>
              <w:ind w:left="606"/>
              <w:rPr>
                <w:sz w:val="24"/>
              </w:rPr>
            </w:pPr>
            <w:r>
              <w:rPr>
                <w:sz w:val="24"/>
              </w:rPr>
              <w:t>从事科学研究</w:t>
            </w:r>
          </w:p>
          <w:p>
            <w:pPr>
              <w:pStyle w:val="17"/>
              <w:spacing w:before="4" w:line="292" w:lineRule="exact"/>
              <w:ind w:left="726"/>
              <w:rPr>
                <w:sz w:val="24"/>
              </w:rPr>
            </w:pPr>
            <w:r>
              <w:rPr>
                <w:sz w:val="24"/>
              </w:rPr>
              <w:t>及获奖情况</w:t>
            </w:r>
          </w:p>
        </w:tc>
        <w:tc>
          <w:tcPr>
            <w:tcW w:w="6921" w:type="dxa"/>
            <w:gridSpan w:val="8"/>
          </w:tcPr>
          <w:p>
            <w:pPr>
              <w:pStyle w:val="17"/>
              <w:spacing w:before="48" w:beforeLines="20"/>
              <w:rPr>
                <w:rFonts w:ascii="Times New Roman"/>
                <w:sz w:val="21"/>
                <w:szCs w:val="21"/>
              </w:rPr>
            </w:pPr>
            <w:r>
              <w:rPr>
                <w:rFonts w:hint="eastAsia" w:ascii="Times New Roman"/>
                <w:sz w:val="21"/>
                <w:szCs w:val="21"/>
              </w:rPr>
              <w:t>1. 会展经济论——以成都为例，四川省第十七次社会科学优秀成果奖</w:t>
            </w:r>
          </w:p>
          <w:p>
            <w:pPr>
              <w:pStyle w:val="17"/>
              <w:spacing w:before="48" w:beforeLines="20"/>
              <w:rPr>
                <w:rFonts w:ascii="Times New Roman"/>
                <w:sz w:val="24"/>
              </w:rPr>
            </w:pPr>
            <w:r>
              <w:rPr>
                <w:rFonts w:hint="eastAsia" w:ascii="Times New Roman"/>
                <w:sz w:val="21"/>
                <w:szCs w:val="21"/>
              </w:rPr>
              <w:t>2. 基于产业融合发展的会展业新业态探析—兼谈成都实践，第八届中国会展经济研究优秀成果一等奖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7"/>
              <w:spacing w:line="307" w:lineRule="exact"/>
              <w:ind w:left="107" w:right="98"/>
              <w:jc w:val="center"/>
              <w:rPr>
                <w:sz w:val="24"/>
              </w:rPr>
            </w:pPr>
            <w:r>
              <w:rPr>
                <w:sz w:val="24"/>
              </w:rPr>
              <w:t>近三年获得教学研究经</w:t>
            </w:r>
          </w:p>
          <w:p>
            <w:pPr>
              <w:pStyle w:val="17"/>
              <w:spacing w:before="4" w:line="292" w:lineRule="exact"/>
              <w:ind w:left="106" w:right="98"/>
              <w:jc w:val="center"/>
              <w:rPr>
                <w:sz w:val="24"/>
              </w:rPr>
            </w:pPr>
            <w:r>
              <w:rPr>
                <w:sz w:val="24"/>
              </w:rPr>
              <w:t>费（万元）</w:t>
            </w:r>
          </w:p>
        </w:tc>
        <w:tc>
          <w:tcPr>
            <w:tcW w:w="2306" w:type="dxa"/>
            <w:gridSpan w:val="3"/>
          </w:tcPr>
          <w:p>
            <w:pPr>
              <w:pStyle w:val="17"/>
              <w:rPr>
                <w:rFonts w:ascii="Times New Roman"/>
                <w:sz w:val="24"/>
              </w:rPr>
            </w:pPr>
            <w:r>
              <w:rPr>
                <w:rFonts w:hint="eastAsia" w:ascii="Times New Roman"/>
                <w:sz w:val="24"/>
              </w:rPr>
              <w:t>20万元</w:t>
            </w:r>
          </w:p>
        </w:tc>
        <w:tc>
          <w:tcPr>
            <w:tcW w:w="2305" w:type="dxa"/>
            <w:gridSpan w:val="2"/>
          </w:tcPr>
          <w:p>
            <w:pPr>
              <w:pStyle w:val="17"/>
              <w:spacing w:line="307" w:lineRule="exact"/>
              <w:ind w:left="106"/>
              <w:rPr>
                <w:sz w:val="24"/>
              </w:rPr>
            </w:pPr>
            <w:r>
              <w:rPr>
                <w:sz w:val="24"/>
              </w:rPr>
              <w:t>近三年获得科学研</w:t>
            </w:r>
          </w:p>
          <w:p>
            <w:pPr>
              <w:pStyle w:val="17"/>
              <w:spacing w:before="4" w:line="292" w:lineRule="exact"/>
              <w:ind w:left="106"/>
              <w:rPr>
                <w:sz w:val="24"/>
              </w:rPr>
            </w:pPr>
            <w:r>
              <w:rPr>
                <w:sz w:val="24"/>
              </w:rPr>
              <w:t>究经费（万元）</w:t>
            </w:r>
          </w:p>
        </w:tc>
        <w:tc>
          <w:tcPr>
            <w:tcW w:w="2310" w:type="dxa"/>
            <w:gridSpan w:val="3"/>
          </w:tcPr>
          <w:p>
            <w:pPr>
              <w:pStyle w:val="17"/>
              <w:rPr>
                <w:rFonts w:ascii="Times New Roman"/>
                <w:sz w:val="24"/>
              </w:rPr>
            </w:pPr>
            <w:r>
              <w:rPr>
                <w:rFonts w:hint="eastAsia" w:ascii="Times New Roman"/>
                <w:sz w:val="24"/>
              </w:rPr>
              <w:t>1500万元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7"/>
              <w:spacing w:line="307" w:lineRule="exact"/>
              <w:ind w:left="107" w:right="98"/>
              <w:jc w:val="center"/>
              <w:rPr>
                <w:sz w:val="24"/>
              </w:rPr>
            </w:pPr>
            <w:r>
              <w:rPr>
                <w:sz w:val="24"/>
              </w:rPr>
              <w:t>近三年给本科生授课</w:t>
            </w:r>
          </w:p>
          <w:p>
            <w:pPr>
              <w:pStyle w:val="17"/>
              <w:spacing w:before="4" w:line="292" w:lineRule="exact"/>
              <w:ind w:left="106" w:right="98"/>
              <w:jc w:val="center"/>
              <w:rPr>
                <w:sz w:val="24"/>
              </w:rPr>
            </w:pPr>
            <w:r>
              <w:rPr>
                <w:sz w:val="24"/>
              </w:rPr>
              <w:t>课程及学时数</w:t>
            </w:r>
          </w:p>
        </w:tc>
        <w:tc>
          <w:tcPr>
            <w:tcW w:w="2306" w:type="dxa"/>
            <w:gridSpan w:val="3"/>
          </w:tcPr>
          <w:p>
            <w:pPr>
              <w:pStyle w:val="17"/>
              <w:rPr>
                <w:rFonts w:hint="default" w:ascii="Times New Roman" w:eastAsia="宋体"/>
                <w:sz w:val="24"/>
                <w:lang w:val="en-US" w:eastAsia="zh-CN"/>
              </w:rPr>
            </w:pPr>
            <w:r>
              <w:rPr>
                <w:rFonts w:hint="eastAsia" w:ascii="Times New Roman"/>
                <w:sz w:val="24"/>
                <w:lang w:val="en-US" w:eastAsia="zh-CN"/>
              </w:rPr>
              <w:t>110</w:t>
            </w:r>
          </w:p>
        </w:tc>
        <w:tc>
          <w:tcPr>
            <w:tcW w:w="2305" w:type="dxa"/>
            <w:gridSpan w:val="2"/>
          </w:tcPr>
          <w:p>
            <w:pPr>
              <w:pStyle w:val="17"/>
              <w:spacing w:line="307" w:lineRule="exact"/>
              <w:ind w:left="106"/>
              <w:rPr>
                <w:sz w:val="24"/>
              </w:rPr>
            </w:pPr>
            <w:r>
              <w:rPr>
                <w:sz w:val="24"/>
              </w:rPr>
              <w:t>近三年指导本科毕</w:t>
            </w:r>
          </w:p>
          <w:p>
            <w:pPr>
              <w:pStyle w:val="17"/>
              <w:spacing w:before="4" w:line="292" w:lineRule="exact"/>
              <w:ind w:left="106"/>
              <w:rPr>
                <w:sz w:val="24"/>
              </w:rPr>
            </w:pPr>
            <w:r>
              <w:rPr>
                <w:sz w:val="24"/>
              </w:rPr>
              <w:t>业设计（人次）</w:t>
            </w:r>
          </w:p>
        </w:tc>
        <w:tc>
          <w:tcPr>
            <w:tcW w:w="2310" w:type="dxa"/>
            <w:gridSpan w:val="3"/>
          </w:tcPr>
          <w:p>
            <w:pPr>
              <w:pStyle w:val="17"/>
              <w:rPr>
                <w:rFonts w:ascii="Times New Roman"/>
                <w:sz w:val="24"/>
              </w:rPr>
            </w:pPr>
            <w:r>
              <w:rPr>
                <w:rFonts w:hint="eastAsia" w:ascii="Times New Roman"/>
                <w:sz w:val="24"/>
              </w:rPr>
              <w:t>15人</w:t>
            </w:r>
          </w:p>
        </w:tc>
      </w:tr>
    </w:tbl>
    <w:p>
      <w:pPr>
        <w:spacing w:line="362" w:lineRule="exact"/>
        <w:ind w:left="458"/>
        <w:rPr>
          <w:sz w:val="24"/>
        </w:rPr>
      </w:pPr>
      <w:r>
        <w:rPr>
          <w:rFonts w:hint="eastAsia" w:ascii="Microsoft JhengHei" w:eastAsia="Microsoft JhengHei"/>
          <w:b/>
          <w:sz w:val="24"/>
        </w:rPr>
        <w:t>注：</w:t>
      </w:r>
      <w:r>
        <w:rPr>
          <w:spacing w:val="-1"/>
          <w:sz w:val="24"/>
        </w:rPr>
        <w:t>填写三至五人，只填本专业专任教师，每人一表。</w:t>
      </w:r>
    </w:p>
    <w:p>
      <w:pPr>
        <w:rPr>
          <w:sz w:val="20"/>
        </w:rPr>
      </w:pPr>
    </w:p>
    <w:p>
      <w:pPr>
        <w:spacing w:before="10" w:after="1"/>
        <w:rPr>
          <w:sz w:val="24"/>
        </w:rPr>
      </w:pPr>
    </w:p>
    <w:tbl>
      <w:tblPr>
        <w:tblStyle w:val="15"/>
        <w:tblW w:w="957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tcPr>
          <w:p>
            <w:pPr>
              <w:pStyle w:val="17"/>
              <w:spacing w:before="14" w:line="306" w:lineRule="exact"/>
              <w:ind w:left="239"/>
              <w:rPr>
                <w:sz w:val="24"/>
              </w:rPr>
            </w:pPr>
            <w:r>
              <w:rPr>
                <w:sz w:val="24"/>
              </w:rPr>
              <w:t>姓名</w:t>
            </w:r>
          </w:p>
        </w:tc>
        <w:tc>
          <w:tcPr>
            <w:tcW w:w="1438" w:type="dxa"/>
          </w:tcPr>
          <w:p>
            <w:pPr>
              <w:pStyle w:val="17"/>
              <w:rPr>
                <w:rFonts w:ascii="Times New Roman"/>
                <w:sz w:val="24"/>
              </w:rPr>
            </w:pPr>
            <w:r>
              <w:rPr>
                <w:rFonts w:hint="eastAsia" w:ascii="Times New Roman"/>
                <w:sz w:val="24"/>
              </w:rPr>
              <w:t>刘婕</w:t>
            </w:r>
          </w:p>
        </w:tc>
        <w:tc>
          <w:tcPr>
            <w:tcW w:w="1246" w:type="dxa"/>
            <w:gridSpan w:val="2"/>
          </w:tcPr>
          <w:p>
            <w:pPr>
              <w:pStyle w:val="17"/>
              <w:spacing w:before="14" w:line="306" w:lineRule="exact"/>
              <w:ind w:left="381"/>
              <w:rPr>
                <w:sz w:val="24"/>
              </w:rPr>
            </w:pPr>
            <w:r>
              <w:rPr>
                <w:sz w:val="24"/>
              </w:rPr>
              <w:t>性别</w:t>
            </w:r>
          </w:p>
        </w:tc>
        <w:tc>
          <w:tcPr>
            <w:tcW w:w="879" w:type="dxa"/>
          </w:tcPr>
          <w:p>
            <w:pPr>
              <w:pStyle w:val="17"/>
              <w:rPr>
                <w:rFonts w:ascii="Times New Roman"/>
                <w:sz w:val="24"/>
              </w:rPr>
            </w:pPr>
            <w:r>
              <w:rPr>
                <w:rFonts w:hint="eastAsia" w:ascii="Times New Roman"/>
                <w:sz w:val="24"/>
              </w:rPr>
              <w:t xml:space="preserve"> 女</w:t>
            </w:r>
          </w:p>
        </w:tc>
        <w:tc>
          <w:tcPr>
            <w:tcW w:w="1720" w:type="dxa"/>
            <w:gridSpan w:val="2"/>
          </w:tcPr>
          <w:p>
            <w:pPr>
              <w:pStyle w:val="17"/>
              <w:spacing w:before="14" w:line="306" w:lineRule="exact"/>
              <w:ind w:left="138"/>
              <w:rPr>
                <w:sz w:val="24"/>
              </w:rPr>
            </w:pPr>
            <w:r>
              <w:rPr>
                <w:sz w:val="24"/>
              </w:rPr>
              <w:t>专业技术职务</w:t>
            </w:r>
          </w:p>
        </w:tc>
        <w:tc>
          <w:tcPr>
            <w:tcW w:w="1112" w:type="dxa"/>
            <w:gridSpan w:val="2"/>
          </w:tcPr>
          <w:p>
            <w:pPr>
              <w:pStyle w:val="17"/>
              <w:rPr>
                <w:rFonts w:ascii="Times New Roman"/>
                <w:sz w:val="24"/>
              </w:rPr>
            </w:pPr>
            <w:r>
              <w:rPr>
                <w:rFonts w:hint="eastAsia" w:ascii="Times New Roman"/>
                <w:sz w:val="24"/>
              </w:rPr>
              <w:t xml:space="preserve"> 副教授</w:t>
            </w:r>
          </w:p>
        </w:tc>
        <w:tc>
          <w:tcPr>
            <w:tcW w:w="1229" w:type="dxa"/>
          </w:tcPr>
          <w:p>
            <w:pPr>
              <w:pStyle w:val="17"/>
              <w:spacing w:before="14" w:line="306" w:lineRule="exact"/>
              <w:ind w:left="131"/>
              <w:rPr>
                <w:sz w:val="24"/>
              </w:rPr>
            </w:pPr>
            <w:r>
              <w:rPr>
                <w:sz w:val="24"/>
              </w:rPr>
              <w:t>行政职务</w:t>
            </w:r>
          </w:p>
        </w:tc>
        <w:tc>
          <w:tcPr>
            <w:tcW w:w="992" w:type="dxa"/>
          </w:tcPr>
          <w:p>
            <w:pPr>
              <w:pStyle w:val="17"/>
              <w:rPr>
                <w:rFonts w:ascii="Times New Roman"/>
                <w:sz w:val="24"/>
              </w:rPr>
            </w:pPr>
            <w:r>
              <w:rPr>
                <w:rFonts w:hint="eastAsia" w:ascii="Times New Roman"/>
                <w:sz w:val="24"/>
              </w:rPr>
              <w:t xml:space="preserve"> 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tcPr>
          <w:p>
            <w:pPr>
              <w:pStyle w:val="17"/>
              <w:spacing w:line="307" w:lineRule="exact"/>
              <w:ind w:left="99" w:right="90"/>
              <w:jc w:val="center"/>
              <w:rPr>
                <w:sz w:val="24"/>
              </w:rPr>
            </w:pPr>
            <w:r>
              <w:rPr>
                <w:sz w:val="24"/>
              </w:rPr>
              <w:t>拟承担</w:t>
            </w:r>
          </w:p>
          <w:p>
            <w:pPr>
              <w:pStyle w:val="17"/>
              <w:spacing w:before="4" w:line="292" w:lineRule="exact"/>
              <w:ind w:left="99" w:right="90"/>
              <w:jc w:val="center"/>
              <w:rPr>
                <w:sz w:val="24"/>
              </w:rPr>
            </w:pPr>
            <w:r>
              <w:rPr>
                <w:sz w:val="24"/>
              </w:rPr>
              <w:t>课程</w:t>
            </w:r>
          </w:p>
        </w:tc>
        <w:tc>
          <w:tcPr>
            <w:tcW w:w="3563" w:type="dxa"/>
            <w:gridSpan w:val="4"/>
          </w:tcPr>
          <w:p>
            <w:pPr>
              <w:pStyle w:val="17"/>
              <w:spacing w:before="158"/>
              <w:ind w:firstLine="240" w:firstLineChars="100"/>
              <w:rPr>
                <w:rFonts w:ascii="Times New Roman"/>
                <w:sz w:val="24"/>
              </w:rPr>
            </w:pPr>
            <w:r>
              <w:rPr>
                <w:rFonts w:hint="eastAsia"/>
                <w:sz w:val="24"/>
              </w:rPr>
              <w:t>旅游市场营销、旅游电子商务</w:t>
            </w:r>
          </w:p>
        </w:tc>
        <w:tc>
          <w:tcPr>
            <w:tcW w:w="1720" w:type="dxa"/>
            <w:gridSpan w:val="2"/>
          </w:tcPr>
          <w:p>
            <w:pPr>
              <w:pStyle w:val="17"/>
              <w:spacing w:before="155"/>
              <w:ind w:left="138"/>
              <w:rPr>
                <w:sz w:val="24"/>
              </w:rPr>
            </w:pPr>
            <w:r>
              <w:rPr>
                <w:sz w:val="24"/>
              </w:rPr>
              <w:t>现在所在单位</w:t>
            </w:r>
          </w:p>
        </w:tc>
        <w:tc>
          <w:tcPr>
            <w:tcW w:w="3333" w:type="dxa"/>
            <w:gridSpan w:val="4"/>
          </w:tcPr>
          <w:p>
            <w:pPr>
              <w:pStyle w:val="17"/>
              <w:spacing w:before="158"/>
              <w:jc w:val="center"/>
              <w:rPr>
                <w:rFonts w:ascii="Times New Roman"/>
                <w:sz w:val="24"/>
              </w:rPr>
            </w:pPr>
            <w:r>
              <w:rPr>
                <w:rFonts w:hint="eastAsia"/>
                <w:sz w:val="24"/>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655" w:type="dxa"/>
            <w:gridSpan w:val="3"/>
          </w:tcPr>
          <w:p>
            <w:pPr>
              <w:pStyle w:val="17"/>
              <w:spacing w:before="2"/>
              <w:ind w:left="107"/>
              <w:rPr>
                <w:sz w:val="24"/>
              </w:rPr>
            </w:pPr>
            <w:r>
              <w:rPr>
                <w:sz w:val="24"/>
              </w:rPr>
              <w:t>最后学历毕业时间、</w:t>
            </w:r>
          </w:p>
          <w:p>
            <w:pPr>
              <w:pStyle w:val="17"/>
              <w:spacing w:before="4" w:line="292" w:lineRule="exact"/>
              <w:ind w:left="777"/>
              <w:rPr>
                <w:sz w:val="24"/>
              </w:rPr>
            </w:pPr>
            <w:r>
              <w:rPr>
                <w:sz w:val="24"/>
              </w:rPr>
              <w:t>学校、专业</w:t>
            </w:r>
          </w:p>
        </w:tc>
        <w:tc>
          <w:tcPr>
            <w:tcW w:w="6921" w:type="dxa"/>
            <w:gridSpan w:val="8"/>
          </w:tcPr>
          <w:p>
            <w:pPr>
              <w:pStyle w:val="17"/>
              <w:spacing w:before="158"/>
              <w:ind w:left="606"/>
              <w:rPr>
                <w:rFonts w:ascii="Times New Roman"/>
                <w:sz w:val="24"/>
              </w:rPr>
            </w:pPr>
            <w:r>
              <w:rPr>
                <w:rFonts w:hint="eastAsia" w:ascii="Times New Roman"/>
                <w:sz w:val="24"/>
              </w:rPr>
              <w:t xml:space="preserve">博士、 </w:t>
            </w:r>
            <w:r>
              <w:rPr>
                <w:rFonts w:hint="eastAsia"/>
                <w:sz w:val="24"/>
              </w:rPr>
              <w:t>2011年、四川大学、世界经济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655" w:type="dxa"/>
            <w:gridSpan w:val="3"/>
          </w:tcPr>
          <w:p>
            <w:pPr>
              <w:pStyle w:val="17"/>
              <w:spacing w:before="156"/>
              <w:ind w:left="606"/>
              <w:rPr>
                <w:sz w:val="24"/>
              </w:rPr>
            </w:pPr>
            <w:r>
              <w:rPr>
                <w:sz w:val="24"/>
              </w:rPr>
              <w:t>主要研究方向</w:t>
            </w:r>
          </w:p>
        </w:tc>
        <w:tc>
          <w:tcPr>
            <w:tcW w:w="6921" w:type="dxa"/>
            <w:gridSpan w:val="8"/>
          </w:tcPr>
          <w:p>
            <w:pPr>
              <w:pStyle w:val="17"/>
              <w:spacing w:before="158"/>
              <w:ind w:left="606"/>
              <w:rPr>
                <w:rFonts w:ascii="Times New Roman"/>
                <w:sz w:val="24"/>
              </w:rPr>
            </w:pPr>
            <w:r>
              <w:rPr>
                <w:rFonts w:hint="eastAsia" w:ascii="Times New Roman"/>
                <w:sz w:val="24"/>
              </w:rPr>
              <w:t xml:space="preserve"> </w:t>
            </w:r>
            <w:r>
              <w:rPr>
                <w:rFonts w:hint="eastAsia"/>
                <w:sz w:val="24"/>
              </w:rPr>
              <w:t>旅游产业经济、旅游管理、文化创意产业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tcPr>
          <w:p>
            <w:pPr>
              <w:pStyle w:val="17"/>
              <w:spacing w:line="242" w:lineRule="auto"/>
              <w:ind w:left="126" w:right="117"/>
              <w:jc w:val="both"/>
              <w:rPr>
                <w:sz w:val="24"/>
              </w:rPr>
            </w:pPr>
            <w:r>
              <w:rPr>
                <w:sz w:val="24"/>
              </w:rPr>
              <w:t>从事教育教学改革研究及获奖情况（含教改项目、研究论文、慕课、</w:t>
            </w:r>
          </w:p>
          <w:p>
            <w:pPr>
              <w:pStyle w:val="17"/>
              <w:spacing w:before="4" w:line="292" w:lineRule="exact"/>
              <w:ind w:left="846"/>
              <w:rPr>
                <w:sz w:val="24"/>
              </w:rPr>
            </w:pPr>
            <w:r>
              <w:rPr>
                <w:sz w:val="24"/>
              </w:rPr>
              <w:t>教材等）</w:t>
            </w:r>
          </w:p>
        </w:tc>
        <w:tc>
          <w:tcPr>
            <w:tcW w:w="6921" w:type="dxa"/>
            <w:gridSpan w:val="8"/>
          </w:tcPr>
          <w:p>
            <w:pPr>
              <w:pStyle w:val="17"/>
              <w:spacing w:before="48" w:beforeLines="20"/>
              <w:rPr>
                <w:rFonts w:ascii="Times New Roman"/>
                <w:sz w:val="21"/>
                <w:szCs w:val="21"/>
              </w:rPr>
            </w:pPr>
            <w:r>
              <w:rPr>
                <w:rFonts w:hint="eastAsia" w:ascii="Times New Roman"/>
                <w:sz w:val="21"/>
                <w:szCs w:val="21"/>
              </w:rPr>
              <w:t>1. 《论新形势下的旅游管理本科专业人才培养方案改革与课程体系优化》教育与教学研究</w:t>
            </w:r>
            <w:r>
              <w:rPr>
                <w:rFonts w:ascii="Times New Roman"/>
                <w:sz w:val="21"/>
                <w:szCs w:val="21"/>
              </w:rPr>
              <w:t xml:space="preserve"> 2013年第27卷第8期</w:t>
            </w:r>
          </w:p>
          <w:p>
            <w:pPr>
              <w:pStyle w:val="17"/>
              <w:spacing w:before="48" w:beforeLines="20"/>
              <w:rPr>
                <w:rFonts w:ascii="Times New Roman"/>
                <w:sz w:val="21"/>
                <w:szCs w:val="21"/>
              </w:rPr>
            </w:pPr>
            <w:r>
              <w:rPr>
                <w:rFonts w:hint="eastAsia" w:ascii="Times New Roman"/>
                <w:sz w:val="21"/>
                <w:szCs w:val="21"/>
              </w:rPr>
              <w:t>2. 《构建跨学科大专业平台，培养文化创意人才》教育与教学研究</w:t>
            </w:r>
            <w:r>
              <w:rPr>
                <w:rFonts w:ascii="Times New Roman"/>
                <w:sz w:val="21"/>
                <w:szCs w:val="21"/>
              </w:rPr>
              <w:t xml:space="preserve"> 2012年第26卷第8期</w:t>
            </w:r>
          </w:p>
          <w:p>
            <w:pPr>
              <w:pStyle w:val="17"/>
              <w:spacing w:before="48" w:beforeLines="20"/>
              <w:rPr>
                <w:rFonts w:ascii="Times New Roman"/>
                <w:sz w:val="21"/>
                <w:szCs w:val="21"/>
              </w:rPr>
            </w:pPr>
            <w:r>
              <w:rPr>
                <w:rFonts w:hint="eastAsia" w:ascii="Times New Roman"/>
                <w:sz w:val="21"/>
                <w:szCs w:val="21"/>
              </w:rPr>
              <w:t>3. 《创意型人才培养的理论教学与实践教学二元化课程构建研究》教育与教学研究</w:t>
            </w:r>
            <w:r>
              <w:rPr>
                <w:rFonts w:ascii="Times New Roman"/>
                <w:sz w:val="21"/>
                <w:szCs w:val="21"/>
              </w:rPr>
              <w:t xml:space="preserve"> 2011年第25卷第11期</w:t>
            </w:r>
          </w:p>
          <w:p>
            <w:pPr>
              <w:pStyle w:val="17"/>
              <w:spacing w:before="48" w:beforeLines="20"/>
              <w:rPr>
                <w:rFonts w:ascii="Times New Roman"/>
                <w:sz w:val="21"/>
                <w:szCs w:val="21"/>
              </w:rPr>
            </w:pPr>
            <w:r>
              <w:rPr>
                <w:rFonts w:hint="eastAsia" w:ascii="Times New Roman"/>
                <w:sz w:val="21"/>
                <w:szCs w:val="21"/>
              </w:rPr>
              <w:t>4. 《行动学习模式在本科课程教学中的运用研究——以《旅游英语》课程为例》兰州教育学院学报</w:t>
            </w:r>
            <w:r>
              <w:rPr>
                <w:rFonts w:ascii="Times New Roman"/>
                <w:sz w:val="21"/>
                <w:szCs w:val="21"/>
              </w:rPr>
              <w:t xml:space="preserve"> 2010年第26卷第1期</w:t>
            </w:r>
          </w:p>
          <w:p>
            <w:pPr>
              <w:pStyle w:val="17"/>
              <w:spacing w:before="48" w:beforeLines="20"/>
              <w:rPr>
                <w:rFonts w:ascii="Times New Roman"/>
                <w:sz w:val="24"/>
              </w:rPr>
            </w:pPr>
            <w:r>
              <w:rPr>
                <w:rFonts w:hint="eastAsia" w:ascii="Times New Roman"/>
                <w:sz w:val="21"/>
                <w:szCs w:val="21"/>
              </w:rPr>
              <w:t>5. 《行动学习模式运用于本科课堂教学的评估与反思》中国校外教育杂志</w:t>
            </w:r>
            <w:r>
              <w:rPr>
                <w:rFonts w:ascii="Times New Roman"/>
                <w:sz w:val="21"/>
                <w:szCs w:val="21"/>
              </w:rPr>
              <w:t xml:space="preserve"> 2011年第7期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7"/>
              <w:spacing w:line="307" w:lineRule="exact"/>
              <w:ind w:left="606"/>
              <w:rPr>
                <w:sz w:val="24"/>
              </w:rPr>
            </w:pPr>
            <w:r>
              <w:rPr>
                <w:sz w:val="24"/>
              </w:rPr>
              <w:t>从事科学研究</w:t>
            </w:r>
          </w:p>
          <w:p>
            <w:pPr>
              <w:pStyle w:val="17"/>
              <w:spacing w:before="4" w:line="292" w:lineRule="exact"/>
              <w:ind w:left="726"/>
              <w:rPr>
                <w:sz w:val="24"/>
              </w:rPr>
            </w:pPr>
            <w:r>
              <w:rPr>
                <w:sz w:val="24"/>
              </w:rPr>
              <w:t>及获奖情况</w:t>
            </w:r>
          </w:p>
        </w:tc>
        <w:tc>
          <w:tcPr>
            <w:tcW w:w="6921" w:type="dxa"/>
            <w:gridSpan w:val="8"/>
          </w:tcPr>
          <w:p>
            <w:pPr>
              <w:pStyle w:val="17"/>
              <w:spacing w:before="48" w:beforeLines="20"/>
              <w:rPr>
                <w:rFonts w:ascii="Times New Roman"/>
                <w:sz w:val="21"/>
                <w:szCs w:val="21"/>
              </w:rPr>
            </w:pPr>
            <w:r>
              <w:rPr>
                <w:rFonts w:hint="eastAsia" w:ascii="Times New Roman"/>
                <w:sz w:val="21"/>
                <w:szCs w:val="21"/>
              </w:rPr>
              <w:t>1. 四川省社科规划项目“四川省文化创意产业集群发展模式与趋势研究——基于典型园区与企业调研”，经费1.5万元，2016</w:t>
            </w:r>
          </w:p>
          <w:p>
            <w:pPr>
              <w:pStyle w:val="17"/>
              <w:spacing w:before="48" w:beforeLines="20"/>
              <w:rPr>
                <w:rFonts w:ascii="Times New Roman"/>
                <w:sz w:val="21"/>
                <w:szCs w:val="21"/>
              </w:rPr>
            </w:pPr>
            <w:r>
              <w:rPr>
                <w:rFonts w:hint="eastAsia" w:ascii="Times New Roman"/>
                <w:sz w:val="21"/>
                <w:szCs w:val="21"/>
              </w:rPr>
              <w:t>2. 四川省人力资源社会保障厅课题“成都市文化创意产业信息化服务平台建设研究”，经费6万元，2016</w:t>
            </w:r>
          </w:p>
          <w:p>
            <w:pPr>
              <w:pStyle w:val="17"/>
              <w:spacing w:before="48" w:beforeLines="20"/>
              <w:rPr>
                <w:rFonts w:ascii="Times New Roman"/>
                <w:sz w:val="21"/>
                <w:szCs w:val="21"/>
              </w:rPr>
            </w:pPr>
            <w:r>
              <w:rPr>
                <w:rFonts w:hint="eastAsia" w:ascii="Times New Roman"/>
                <w:sz w:val="21"/>
                <w:szCs w:val="21"/>
              </w:rPr>
              <w:t>3. 成都市</w:t>
            </w:r>
            <w:r>
              <w:rPr>
                <w:rFonts w:ascii="Times New Roman"/>
                <w:sz w:val="21"/>
                <w:szCs w:val="21"/>
              </w:rPr>
              <w:t>锦睿文创旅游</w:t>
            </w:r>
            <w:r>
              <w:rPr>
                <w:rFonts w:hint="eastAsia" w:ascii="Times New Roman"/>
                <w:sz w:val="21"/>
                <w:szCs w:val="21"/>
              </w:rPr>
              <w:t>发展</w:t>
            </w:r>
            <w:r>
              <w:rPr>
                <w:rFonts w:ascii="Times New Roman"/>
                <w:sz w:val="21"/>
                <w:szCs w:val="21"/>
              </w:rPr>
              <w:t>中心委托横向课题</w:t>
            </w:r>
            <w:r>
              <w:rPr>
                <w:rFonts w:hint="eastAsia" w:ascii="Times New Roman"/>
                <w:sz w:val="21"/>
                <w:szCs w:val="21"/>
              </w:rPr>
              <w:t>“成都市文创产业研究”，经费2万元，2018</w:t>
            </w:r>
          </w:p>
          <w:p>
            <w:pPr>
              <w:pStyle w:val="17"/>
              <w:spacing w:before="48" w:beforeLines="20"/>
              <w:rPr>
                <w:rFonts w:ascii="Times New Roman"/>
                <w:sz w:val="24"/>
              </w:rPr>
            </w:pPr>
            <w:r>
              <w:rPr>
                <w:rFonts w:hint="eastAsia" w:ascii="Times New Roman"/>
                <w:sz w:val="21"/>
                <w:szCs w:val="21"/>
              </w:rPr>
              <w:t>4. 四川省高鹏人力资源管理有限公司委托横向课题“成都市高星级酒店第三方外包服务管理模式研究”，经费1.2万元，2019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7"/>
              <w:spacing w:line="307" w:lineRule="exact"/>
              <w:ind w:left="107" w:right="98"/>
              <w:jc w:val="center"/>
              <w:rPr>
                <w:sz w:val="24"/>
              </w:rPr>
            </w:pPr>
            <w:r>
              <w:rPr>
                <w:sz w:val="24"/>
              </w:rPr>
              <w:t>近三年获得教学研究经</w:t>
            </w:r>
          </w:p>
          <w:p>
            <w:pPr>
              <w:pStyle w:val="17"/>
              <w:spacing w:before="4" w:line="292" w:lineRule="exact"/>
              <w:ind w:left="106" w:right="98"/>
              <w:jc w:val="center"/>
              <w:rPr>
                <w:sz w:val="24"/>
              </w:rPr>
            </w:pPr>
            <w:r>
              <w:rPr>
                <w:sz w:val="24"/>
              </w:rPr>
              <w:t>费（万元）</w:t>
            </w:r>
          </w:p>
        </w:tc>
        <w:tc>
          <w:tcPr>
            <w:tcW w:w="2306" w:type="dxa"/>
            <w:gridSpan w:val="3"/>
          </w:tcPr>
          <w:p>
            <w:pPr>
              <w:pStyle w:val="17"/>
              <w:rPr>
                <w:rFonts w:ascii="Times New Roman"/>
                <w:sz w:val="24"/>
              </w:rPr>
            </w:pPr>
            <w:r>
              <w:rPr>
                <w:rFonts w:hint="eastAsia" w:ascii="Times New Roman"/>
                <w:sz w:val="21"/>
                <w:szCs w:val="21"/>
              </w:rPr>
              <w:t>无</w:t>
            </w:r>
          </w:p>
        </w:tc>
        <w:tc>
          <w:tcPr>
            <w:tcW w:w="2305" w:type="dxa"/>
            <w:gridSpan w:val="2"/>
          </w:tcPr>
          <w:p>
            <w:pPr>
              <w:pStyle w:val="17"/>
              <w:spacing w:line="307" w:lineRule="exact"/>
              <w:ind w:left="106"/>
              <w:rPr>
                <w:sz w:val="24"/>
              </w:rPr>
            </w:pPr>
            <w:r>
              <w:rPr>
                <w:sz w:val="24"/>
              </w:rPr>
              <w:t>近三年获得科学研</w:t>
            </w:r>
          </w:p>
          <w:p>
            <w:pPr>
              <w:pStyle w:val="17"/>
              <w:spacing w:before="4" w:line="292" w:lineRule="exact"/>
              <w:ind w:left="106"/>
              <w:rPr>
                <w:sz w:val="24"/>
              </w:rPr>
            </w:pPr>
            <w:r>
              <w:rPr>
                <w:sz w:val="24"/>
              </w:rPr>
              <w:t>究经费（万元）</w:t>
            </w:r>
          </w:p>
        </w:tc>
        <w:tc>
          <w:tcPr>
            <w:tcW w:w="2310" w:type="dxa"/>
            <w:gridSpan w:val="3"/>
          </w:tcPr>
          <w:p>
            <w:pPr>
              <w:pStyle w:val="17"/>
              <w:rPr>
                <w:rFonts w:ascii="Times New Roman"/>
                <w:sz w:val="24"/>
              </w:rPr>
            </w:pPr>
            <w:r>
              <w:rPr>
                <w:rFonts w:hint="eastAsia" w:ascii="Times New Roman"/>
                <w:sz w:val="24"/>
              </w:rPr>
              <w:t>10.7万元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tcPr>
          <w:p>
            <w:pPr>
              <w:pStyle w:val="17"/>
              <w:spacing w:line="307" w:lineRule="exact"/>
              <w:ind w:left="107" w:right="98"/>
              <w:jc w:val="center"/>
              <w:rPr>
                <w:sz w:val="24"/>
              </w:rPr>
            </w:pPr>
            <w:r>
              <w:rPr>
                <w:sz w:val="24"/>
              </w:rPr>
              <w:t>近三年给本科生授课</w:t>
            </w:r>
          </w:p>
          <w:p>
            <w:pPr>
              <w:pStyle w:val="17"/>
              <w:spacing w:before="4" w:line="294" w:lineRule="exact"/>
              <w:ind w:left="107" w:right="98"/>
              <w:jc w:val="center"/>
              <w:rPr>
                <w:sz w:val="24"/>
              </w:rPr>
            </w:pPr>
            <w:r>
              <w:rPr>
                <w:sz w:val="24"/>
              </w:rPr>
              <w:t>课程及学时数</w:t>
            </w:r>
          </w:p>
        </w:tc>
        <w:tc>
          <w:tcPr>
            <w:tcW w:w="2306" w:type="dxa"/>
            <w:gridSpan w:val="3"/>
          </w:tcPr>
          <w:p>
            <w:pPr>
              <w:pStyle w:val="17"/>
              <w:rPr>
                <w:rFonts w:ascii="Times New Roman"/>
                <w:b/>
                <w:sz w:val="18"/>
                <w:szCs w:val="18"/>
              </w:rPr>
            </w:pPr>
            <w:r>
              <w:rPr>
                <w:rFonts w:ascii="Times New Roman"/>
                <w:sz w:val="21"/>
                <w:szCs w:val="21"/>
              </w:rPr>
              <w:t>英语口语与听力</w:t>
            </w:r>
            <w:r>
              <w:rPr>
                <w:rFonts w:hint="eastAsia" w:ascii="Times New Roman"/>
                <w:sz w:val="21"/>
                <w:szCs w:val="21"/>
              </w:rPr>
              <w:t>（2） 48学时；</w:t>
            </w:r>
            <w:r>
              <w:rPr>
                <w:rFonts w:ascii="Times New Roman"/>
                <w:sz w:val="21"/>
                <w:szCs w:val="21"/>
              </w:rPr>
              <w:t>英语口语与听力</w:t>
            </w:r>
            <w:r>
              <w:rPr>
                <w:rFonts w:hint="eastAsia" w:ascii="Times New Roman"/>
                <w:sz w:val="21"/>
                <w:szCs w:val="21"/>
              </w:rPr>
              <w:t>（1） 48学时；旅游市场营销 48学时；旅游电子商务（双语） 48学时；旅游市场营销 48学时。</w:t>
            </w:r>
          </w:p>
        </w:tc>
        <w:tc>
          <w:tcPr>
            <w:tcW w:w="2305" w:type="dxa"/>
            <w:gridSpan w:val="2"/>
          </w:tcPr>
          <w:p>
            <w:pPr>
              <w:pStyle w:val="17"/>
              <w:spacing w:line="307" w:lineRule="exact"/>
              <w:ind w:left="106"/>
              <w:rPr>
                <w:sz w:val="24"/>
              </w:rPr>
            </w:pPr>
            <w:r>
              <w:rPr>
                <w:sz w:val="24"/>
              </w:rPr>
              <w:t>近三年指导本科毕</w:t>
            </w:r>
          </w:p>
          <w:p>
            <w:pPr>
              <w:pStyle w:val="17"/>
              <w:spacing w:before="4" w:line="294" w:lineRule="exact"/>
              <w:ind w:left="106"/>
              <w:rPr>
                <w:sz w:val="24"/>
              </w:rPr>
            </w:pPr>
            <w:r>
              <w:rPr>
                <w:sz w:val="24"/>
              </w:rPr>
              <w:t>业设计（人次）</w:t>
            </w:r>
          </w:p>
        </w:tc>
        <w:tc>
          <w:tcPr>
            <w:tcW w:w="2310" w:type="dxa"/>
            <w:gridSpan w:val="3"/>
          </w:tcPr>
          <w:p>
            <w:pPr>
              <w:pStyle w:val="17"/>
              <w:rPr>
                <w:rFonts w:ascii="Times New Roman"/>
                <w:sz w:val="24"/>
              </w:rPr>
            </w:pPr>
            <w:r>
              <w:rPr>
                <w:rFonts w:hint="eastAsia" w:ascii="Times New Roman"/>
                <w:sz w:val="21"/>
                <w:szCs w:val="21"/>
              </w:rPr>
              <w:t>30人</w:t>
            </w:r>
          </w:p>
        </w:tc>
      </w:tr>
    </w:tbl>
    <w:p>
      <w:pPr>
        <w:spacing w:line="362" w:lineRule="exact"/>
        <w:ind w:left="458"/>
        <w:rPr>
          <w:sz w:val="24"/>
        </w:rPr>
      </w:pPr>
      <w:r>
        <w:rPr>
          <w:rFonts w:hint="eastAsia" w:ascii="Microsoft JhengHei" w:eastAsia="Microsoft JhengHei"/>
          <w:b/>
          <w:sz w:val="24"/>
        </w:rPr>
        <w:t>注：</w:t>
      </w:r>
      <w:r>
        <w:rPr>
          <w:spacing w:val="-1"/>
          <w:sz w:val="24"/>
        </w:rPr>
        <w:t>填写三至五人，只填本专业专任教师，每人一表。</w:t>
      </w:r>
    </w:p>
    <w:p>
      <w:pPr>
        <w:spacing w:before="10" w:after="1"/>
        <w:rPr>
          <w:sz w:val="24"/>
        </w:rPr>
      </w:pPr>
    </w:p>
    <w:tbl>
      <w:tblPr>
        <w:tblStyle w:val="15"/>
        <w:tblW w:w="957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tcPr>
          <w:p>
            <w:pPr>
              <w:pStyle w:val="17"/>
              <w:spacing w:before="14" w:line="306" w:lineRule="exact"/>
              <w:ind w:left="239"/>
              <w:rPr>
                <w:sz w:val="24"/>
              </w:rPr>
            </w:pPr>
            <w:r>
              <w:rPr>
                <w:sz w:val="24"/>
              </w:rPr>
              <w:t>姓名</w:t>
            </w:r>
          </w:p>
        </w:tc>
        <w:tc>
          <w:tcPr>
            <w:tcW w:w="1438" w:type="dxa"/>
          </w:tcPr>
          <w:p>
            <w:pPr>
              <w:pStyle w:val="17"/>
              <w:rPr>
                <w:rFonts w:ascii="Times New Roman"/>
                <w:sz w:val="24"/>
              </w:rPr>
            </w:pPr>
            <w:r>
              <w:rPr>
                <w:rFonts w:hint="eastAsia" w:ascii="Times New Roman"/>
                <w:sz w:val="24"/>
              </w:rPr>
              <w:t>邹高禄</w:t>
            </w:r>
          </w:p>
        </w:tc>
        <w:tc>
          <w:tcPr>
            <w:tcW w:w="1246" w:type="dxa"/>
            <w:gridSpan w:val="2"/>
          </w:tcPr>
          <w:p>
            <w:pPr>
              <w:pStyle w:val="17"/>
              <w:spacing w:before="14" w:line="306" w:lineRule="exact"/>
              <w:ind w:left="381"/>
              <w:rPr>
                <w:sz w:val="24"/>
              </w:rPr>
            </w:pPr>
            <w:r>
              <w:rPr>
                <w:sz w:val="24"/>
              </w:rPr>
              <w:t>性别</w:t>
            </w:r>
          </w:p>
        </w:tc>
        <w:tc>
          <w:tcPr>
            <w:tcW w:w="879" w:type="dxa"/>
          </w:tcPr>
          <w:p>
            <w:pPr>
              <w:pStyle w:val="17"/>
              <w:rPr>
                <w:rFonts w:ascii="Times New Roman"/>
                <w:sz w:val="24"/>
              </w:rPr>
            </w:pPr>
            <w:r>
              <w:rPr>
                <w:rFonts w:hint="eastAsia" w:ascii="Times New Roman"/>
                <w:sz w:val="24"/>
              </w:rPr>
              <w:t>男</w:t>
            </w:r>
          </w:p>
        </w:tc>
        <w:tc>
          <w:tcPr>
            <w:tcW w:w="1720" w:type="dxa"/>
            <w:gridSpan w:val="2"/>
          </w:tcPr>
          <w:p>
            <w:pPr>
              <w:pStyle w:val="17"/>
              <w:spacing w:before="14" w:line="306" w:lineRule="exact"/>
              <w:ind w:left="138"/>
              <w:rPr>
                <w:sz w:val="24"/>
              </w:rPr>
            </w:pPr>
            <w:r>
              <w:rPr>
                <w:sz w:val="24"/>
              </w:rPr>
              <w:t>专业技术职务</w:t>
            </w:r>
          </w:p>
        </w:tc>
        <w:tc>
          <w:tcPr>
            <w:tcW w:w="1112" w:type="dxa"/>
            <w:gridSpan w:val="2"/>
          </w:tcPr>
          <w:p>
            <w:pPr>
              <w:pStyle w:val="17"/>
              <w:rPr>
                <w:rFonts w:ascii="Times New Roman"/>
                <w:sz w:val="24"/>
              </w:rPr>
            </w:pPr>
            <w:r>
              <w:rPr>
                <w:rFonts w:hint="eastAsia" w:ascii="Times New Roman"/>
                <w:sz w:val="24"/>
              </w:rPr>
              <w:t>教授</w:t>
            </w:r>
          </w:p>
        </w:tc>
        <w:tc>
          <w:tcPr>
            <w:tcW w:w="1229" w:type="dxa"/>
          </w:tcPr>
          <w:p>
            <w:pPr>
              <w:pStyle w:val="17"/>
              <w:spacing w:before="14" w:line="306" w:lineRule="exact"/>
              <w:ind w:left="131"/>
              <w:rPr>
                <w:sz w:val="24"/>
              </w:rPr>
            </w:pPr>
            <w:r>
              <w:rPr>
                <w:sz w:val="24"/>
              </w:rPr>
              <w:t>行政职务</w:t>
            </w:r>
          </w:p>
        </w:tc>
        <w:tc>
          <w:tcPr>
            <w:tcW w:w="992" w:type="dxa"/>
          </w:tcPr>
          <w:p>
            <w:pPr>
              <w:pStyle w:val="17"/>
              <w:rPr>
                <w:rFonts w:ascii="Times New Roman"/>
                <w:sz w:val="24"/>
              </w:rPr>
            </w:pPr>
            <w:r>
              <w:rPr>
                <w:rFonts w:hint="eastAsia" w:ascii="Times New Roman"/>
                <w:sz w:val="24"/>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tcPr>
          <w:p>
            <w:pPr>
              <w:pStyle w:val="17"/>
              <w:spacing w:line="307" w:lineRule="exact"/>
              <w:ind w:left="99" w:right="90"/>
              <w:jc w:val="center"/>
              <w:rPr>
                <w:sz w:val="24"/>
              </w:rPr>
            </w:pPr>
            <w:r>
              <w:rPr>
                <w:sz w:val="24"/>
              </w:rPr>
              <w:t>拟承担</w:t>
            </w:r>
          </w:p>
          <w:p>
            <w:pPr>
              <w:pStyle w:val="17"/>
              <w:spacing w:before="4" w:line="292" w:lineRule="exact"/>
              <w:ind w:left="99" w:right="90"/>
              <w:jc w:val="center"/>
              <w:rPr>
                <w:sz w:val="24"/>
              </w:rPr>
            </w:pPr>
            <w:r>
              <w:rPr>
                <w:sz w:val="24"/>
              </w:rPr>
              <w:t>课程</w:t>
            </w:r>
          </w:p>
        </w:tc>
        <w:tc>
          <w:tcPr>
            <w:tcW w:w="3563" w:type="dxa"/>
            <w:gridSpan w:val="4"/>
          </w:tcPr>
          <w:p>
            <w:pPr>
              <w:pStyle w:val="17"/>
              <w:spacing w:before="158"/>
              <w:ind w:firstLine="240" w:firstLineChars="100"/>
              <w:rPr>
                <w:rFonts w:ascii="Times New Roman"/>
                <w:sz w:val="24"/>
              </w:rPr>
            </w:pPr>
            <w:r>
              <w:rPr>
                <w:rFonts w:hint="eastAsia" w:ascii="Times New Roman"/>
                <w:sz w:val="24"/>
              </w:rPr>
              <w:t>酒店估价、旅游经济学</w:t>
            </w:r>
          </w:p>
        </w:tc>
        <w:tc>
          <w:tcPr>
            <w:tcW w:w="1720" w:type="dxa"/>
            <w:gridSpan w:val="2"/>
          </w:tcPr>
          <w:p>
            <w:pPr>
              <w:pStyle w:val="17"/>
              <w:spacing w:before="155"/>
              <w:ind w:left="138"/>
              <w:rPr>
                <w:sz w:val="24"/>
              </w:rPr>
            </w:pPr>
            <w:r>
              <w:rPr>
                <w:sz w:val="24"/>
              </w:rPr>
              <w:t>现在所在单位</w:t>
            </w:r>
          </w:p>
        </w:tc>
        <w:tc>
          <w:tcPr>
            <w:tcW w:w="3333" w:type="dxa"/>
            <w:gridSpan w:val="4"/>
          </w:tcPr>
          <w:p>
            <w:pPr>
              <w:pStyle w:val="17"/>
              <w:spacing w:before="158"/>
              <w:rPr>
                <w:rFonts w:ascii="Times New Roman"/>
                <w:sz w:val="24"/>
              </w:rPr>
            </w:pPr>
            <w:r>
              <w:rPr>
                <w:rFonts w:hint="eastAsia"/>
                <w:sz w:val="24"/>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655" w:type="dxa"/>
            <w:gridSpan w:val="3"/>
          </w:tcPr>
          <w:p>
            <w:pPr>
              <w:pStyle w:val="17"/>
              <w:spacing w:before="2"/>
              <w:ind w:left="107"/>
              <w:rPr>
                <w:sz w:val="24"/>
              </w:rPr>
            </w:pPr>
            <w:r>
              <w:rPr>
                <w:sz w:val="24"/>
              </w:rPr>
              <w:t>最后学历毕业时间、</w:t>
            </w:r>
          </w:p>
          <w:p>
            <w:pPr>
              <w:pStyle w:val="17"/>
              <w:spacing w:before="4" w:line="292" w:lineRule="exact"/>
              <w:ind w:left="777"/>
              <w:rPr>
                <w:sz w:val="24"/>
              </w:rPr>
            </w:pPr>
            <w:r>
              <w:rPr>
                <w:sz w:val="24"/>
              </w:rPr>
              <w:t>学校、专业</w:t>
            </w:r>
          </w:p>
        </w:tc>
        <w:tc>
          <w:tcPr>
            <w:tcW w:w="6921" w:type="dxa"/>
            <w:gridSpan w:val="8"/>
          </w:tcPr>
          <w:p>
            <w:pPr>
              <w:pStyle w:val="17"/>
              <w:spacing w:before="158"/>
              <w:ind w:left="606"/>
              <w:rPr>
                <w:rFonts w:hint="eastAsia" w:ascii="Times New Roman" w:eastAsia="宋体"/>
                <w:sz w:val="24"/>
                <w:lang w:eastAsia="zh-CN"/>
              </w:rPr>
            </w:pPr>
            <w:r>
              <w:rPr>
                <w:rFonts w:hint="eastAsia" w:ascii="Times New Roman"/>
                <w:sz w:val="24"/>
              </w:rPr>
              <w:t>博士、2</w:t>
            </w:r>
            <w:r>
              <w:rPr>
                <w:rFonts w:ascii="Times New Roman"/>
                <w:sz w:val="24"/>
              </w:rPr>
              <w:t>002</w:t>
            </w:r>
            <w:r>
              <w:rPr>
                <w:rFonts w:hint="eastAsia" w:ascii="Times New Roman"/>
                <w:sz w:val="24"/>
              </w:rPr>
              <w:t>年、香港大学、</w:t>
            </w:r>
            <w:r>
              <w:rPr>
                <w:rFonts w:hint="eastAsia" w:ascii="Times New Roman"/>
                <w:sz w:val="24"/>
                <w:lang w:eastAsia="zh-CN"/>
              </w:rPr>
              <w:t>区域经济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7"/>
              <w:spacing w:before="156"/>
              <w:ind w:left="606"/>
              <w:rPr>
                <w:sz w:val="24"/>
              </w:rPr>
            </w:pPr>
            <w:r>
              <w:rPr>
                <w:sz w:val="24"/>
              </w:rPr>
              <w:t>主要研究方向</w:t>
            </w:r>
          </w:p>
        </w:tc>
        <w:tc>
          <w:tcPr>
            <w:tcW w:w="6921" w:type="dxa"/>
            <w:gridSpan w:val="8"/>
          </w:tcPr>
          <w:p>
            <w:pPr>
              <w:pStyle w:val="17"/>
              <w:spacing w:before="158"/>
              <w:ind w:left="606"/>
              <w:rPr>
                <w:rFonts w:ascii="Times New Roman"/>
                <w:sz w:val="24"/>
              </w:rPr>
            </w:pPr>
            <w:r>
              <w:rPr>
                <w:rFonts w:hint="eastAsia" w:ascii="Times New Roman"/>
                <w:sz w:val="24"/>
              </w:rPr>
              <w:t>房地产经济、资源经济、区域经济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tcPr>
          <w:p>
            <w:pPr>
              <w:pStyle w:val="17"/>
              <w:spacing w:line="242" w:lineRule="auto"/>
              <w:ind w:left="126" w:right="117"/>
              <w:jc w:val="both"/>
              <w:rPr>
                <w:sz w:val="24"/>
              </w:rPr>
            </w:pPr>
            <w:r>
              <w:rPr>
                <w:sz w:val="24"/>
              </w:rPr>
              <w:t>从事教育教学改革研究及获奖情况（含教改项目、研究论文、慕课、</w:t>
            </w:r>
          </w:p>
          <w:p>
            <w:pPr>
              <w:pStyle w:val="17"/>
              <w:spacing w:before="4" w:line="292" w:lineRule="exact"/>
              <w:ind w:left="846"/>
              <w:rPr>
                <w:sz w:val="24"/>
              </w:rPr>
            </w:pPr>
            <w:r>
              <w:rPr>
                <w:sz w:val="24"/>
              </w:rPr>
              <w:t>教材等）</w:t>
            </w:r>
          </w:p>
        </w:tc>
        <w:tc>
          <w:tcPr>
            <w:tcW w:w="6921" w:type="dxa"/>
            <w:gridSpan w:val="8"/>
          </w:tcPr>
          <w:p>
            <w:pPr>
              <w:pStyle w:val="17"/>
              <w:spacing w:before="48" w:beforeLines="20"/>
              <w:rPr>
                <w:rFonts w:ascii="Times New Roman"/>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7"/>
              <w:spacing w:line="307" w:lineRule="exact"/>
              <w:ind w:left="606"/>
              <w:rPr>
                <w:sz w:val="24"/>
              </w:rPr>
            </w:pPr>
            <w:r>
              <w:rPr>
                <w:sz w:val="24"/>
              </w:rPr>
              <w:t>从事科学研究</w:t>
            </w:r>
          </w:p>
          <w:p>
            <w:pPr>
              <w:pStyle w:val="17"/>
              <w:spacing w:before="4" w:line="292" w:lineRule="exact"/>
              <w:ind w:left="726"/>
              <w:rPr>
                <w:sz w:val="24"/>
              </w:rPr>
            </w:pPr>
            <w:r>
              <w:rPr>
                <w:sz w:val="24"/>
              </w:rPr>
              <w:t>及获奖情况</w:t>
            </w:r>
          </w:p>
        </w:tc>
        <w:tc>
          <w:tcPr>
            <w:tcW w:w="6921" w:type="dxa"/>
            <w:gridSpan w:val="8"/>
          </w:tcPr>
          <w:p>
            <w:pPr>
              <w:pStyle w:val="17"/>
              <w:spacing w:before="48" w:beforeLines="20"/>
              <w:rPr>
                <w:rFonts w:ascii="Times New Roman"/>
                <w:sz w:val="21"/>
                <w:szCs w:val="21"/>
                <w:lang w:val="en-US"/>
              </w:rPr>
            </w:pPr>
            <w:r>
              <w:rPr>
                <w:rFonts w:hint="eastAsia" w:ascii="Times New Roman"/>
                <w:sz w:val="21"/>
                <w:szCs w:val="21"/>
                <w:lang w:val="en-US"/>
              </w:rPr>
              <w:t xml:space="preserve">1. </w:t>
            </w:r>
            <w:r>
              <w:rPr>
                <w:rFonts w:ascii="Times New Roman"/>
                <w:sz w:val="21"/>
                <w:szCs w:val="21"/>
                <w:lang w:val="en-US"/>
              </w:rPr>
              <w:t>Zou, G. L., Chau K. W. Short- and long-run effects between oil consumption and economic growth in China. Energy Policy. 2006;34(18):3644-55. SSCI/SCI</w:t>
            </w:r>
            <w:r>
              <w:rPr>
                <w:rFonts w:ascii="Times New Roman"/>
                <w:sz w:val="21"/>
                <w:szCs w:val="21"/>
              </w:rPr>
              <w:t>收录</w:t>
            </w:r>
            <w:r>
              <w:rPr>
                <w:rFonts w:ascii="Times New Roman"/>
                <w:sz w:val="21"/>
                <w:szCs w:val="21"/>
                <w:lang w:val="en-US"/>
              </w:rPr>
              <w:t>，</w:t>
            </w:r>
            <w:r>
              <w:rPr>
                <w:rFonts w:ascii="Times New Roman"/>
                <w:sz w:val="21"/>
                <w:szCs w:val="21"/>
              </w:rPr>
              <w:t>国际权威</w:t>
            </w:r>
          </w:p>
          <w:p>
            <w:pPr>
              <w:pStyle w:val="17"/>
              <w:spacing w:before="48" w:beforeLines="20"/>
              <w:rPr>
                <w:rFonts w:ascii="Times New Roman"/>
                <w:sz w:val="21"/>
                <w:szCs w:val="21"/>
                <w:lang w:val="en-US"/>
              </w:rPr>
            </w:pPr>
            <w:r>
              <w:rPr>
                <w:rFonts w:hint="eastAsia" w:ascii="Times New Roman"/>
                <w:sz w:val="21"/>
                <w:szCs w:val="21"/>
                <w:lang w:val="en-US"/>
              </w:rPr>
              <w:t xml:space="preserve">2. </w:t>
            </w:r>
            <w:r>
              <w:rPr>
                <w:rFonts w:ascii="Times New Roman"/>
                <w:sz w:val="21"/>
                <w:szCs w:val="21"/>
                <w:lang w:val="en-US"/>
              </w:rPr>
              <w:t>Chau K. W., Zou, G. L. Energy Prices, Real Estate Sales and Industrial Output in China. Energies. 2018;11(7):1-15.SCI</w:t>
            </w:r>
            <w:r>
              <w:rPr>
                <w:rFonts w:ascii="Times New Roman"/>
                <w:sz w:val="21"/>
                <w:szCs w:val="21"/>
              </w:rPr>
              <w:t>收录</w:t>
            </w:r>
          </w:p>
          <w:p>
            <w:pPr>
              <w:pStyle w:val="17"/>
              <w:spacing w:before="48" w:beforeLines="20"/>
              <w:rPr>
                <w:rFonts w:ascii="Times New Roman"/>
                <w:sz w:val="21"/>
                <w:szCs w:val="21"/>
                <w:lang w:val="en-US"/>
              </w:rPr>
            </w:pPr>
            <w:r>
              <w:rPr>
                <w:rFonts w:hint="eastAsia" w:ascii="Times New Roman"/>
                <w:sz w:val="21"/>
                <w:szCs w:val="21"/>
                <w:lang w:val="en-US"/>
              </w:rPr>
              <w:t xml:space="preserve">3. </w:t>
            </w:r>
            <w:r>
              <w:rPr>
                <w:rFonts w:ascii="Times New Roman"/>
                <w:sz w:val="21"/>
                <w:szCs w:val="21"/>
                <w:lang w:val="en-US"/>
              </w:rPr>
              <w:t>Zou, G. L. The long-term relationships among China's energy consumption sources and adjustments to its renewable energy policy. Energy Policy. 2012;47:456-67. SSCI/SCI</w:t>
            </w:r>
            <w:r>
              <w:rPr>
                <w:rFonts w:ascii="Times New Roman"/>
                <w:sz w:val="21"/>
                <w:szCs w:val="21"/>
              </w:rPr>
              <w:t>收录</w:t>
            </w:r>
            <w:r>
              <w:rPr>
                <w:rFonts w:ascii="Times New Roman"/>
                <w:sz w:val="21"/>
                <w:szCs w:val="21"/>
                <w:lang w:val="en-US"/>
              </w:rPr>
              <w:t>，</w:t>
            </w:r>
            <w:r>
              <w:rPr>
                <w:rFonts w:ascii="Times New Roman"/>
                <w:sz w:val="21"/>
                <w:szCs w:val="21"/>
              </w:rPr>
              <w:t>国际权威</w:t>
            </w:r>
          </w:p>
          <w:p>
            <w:pPr>
              <w:pStyle w:val="17"/>
              <w:spacing w:before="48" w:beforeLines="20"/>
              <w:rPr>
                <w:rFonts w:ascii="Times New Roman"/>
                <w:sz w:val="21"/>
                <w:szCs w:val="21"/>
                <w:lang w:val="en-US"/>
              </w:rPr>
            </w:pPr>
            <w:r>
              <w:rPr>
                <w:rFonts w:hint="eastAsia" w:ascii="Times New Roman"/>
                <w:sz w:val="21"/>
                <w:szCs w:val="21"/>
                <w:lang w:val="en-US"/>
              </w:rPr>
              <w:t xml:space="preserve">4. </w:t>
            </w:r>
            <w:r>
              <w:rPr>
                <w:rFonts w:ascii="Times New Roman"/>
                <w:sz w:val="21"/>
                <w:szCs w:val="21"/>
                <w:lang w:val="en-US"/>
              </w:rPr>
              <w:t>Zou, G. L, Chau K. W. Determinants and Sustainability of House Prices: The Case of Shanghai, China. Sustainability. 2015;7(4):4524-48. SSCI/SCI</w:t>
            </w:r>
          </w:p>
          <w:p>
            <w:pPr>
              <w:pStyle w:val="17"/>
              <w:spacing w:before="48" w:beforeLines="20"/>
              <w:rPr>
                <w:rFonts w:ascii="Times New Roman"/>
                <w:sz w:val="21"/>
                <w:szCs w:val="21"/>
              </w:rPr>
            </w:pPr>
            <w:r>
              <w:rPr>
                <w:rFonts w:hint="eastAsia" w:ascii="Times New Roman"/>
                <w:sz w:val="21"/>
                <w:szCs w:val="21"/>
                <w:lang w:val="en-US"/>
              </w:rPr>
              <w:t xml:space="preserve">5. </w:t>
            </w:r>
            <w:r>
              <w:rPr>
                <w:rFonts w:ascii="Times New Roman"/>
                <w:sz w:val="21"/>
                <w:szCs w:val="21"/>
              </w:rPr>
              <w:t>邹高禄</w:t>
            </w:r>
            <w:r>
              <w:rPr>
                <w:rFonts w:ascii="Times New Roman"/>
                <w:sz w:val="21"/>
                <w:szCs w:val="21"/>
                <w:lang w:val="en-US"/>
              </w:rPr>
              <w:t xml:space="preserve">, </w:t>
            </w:r>
            <w:r>
              <w:rPr>
                <w:rFonts w:ascii="Times New Roman"/>
                <w:sz w:val="21"/>
                <w:szCs w:val="21"/>
              </w:rPr>
              <w:t>邓沛</w:t>
            </w:r>
            <w:r>
              <w:rPr>
                <w:rFonts w:ascii="Times New Roman"/>
                <w:sz w:val="21"/>
                <w:szCs w:val="21"/>
                <w:lang w:val="en-US"/>
              </w:rPr>
              <w:t xml:space="preserve">, </w:t>
            </w:r>
            <w:r>
              <w:rPr>
                <w:rFonts w:ascii="Times New Roman"/>
                <w:sz w:val="21"/>
                <w:szCs w:val="21"/>
              </w:rPr>
              <w:t>渠文晋</w:t>
            </w:r>
            <w:r>
              <w:rPr>
                <w:rFonts w:ascii="Times New Roman"/>
                <w:sz w:val="21"/>
                <w:szCs w:val="21"/>
                <w:lang w:val="en-US"/>
              </w:rPr>
              <w:t xml:space="preserve">, </w:t>
            </w:r>
            <w:r>
              <w:rPr>
                <w:rFonts w:ascii="Times New Roman"/>
                <w:sz w:val="21"/>
                <w:szCs w:val="21"/>
              </w:rPr>
              <w:t>杨东</w:t>
            </w:r>
            <w:r>
              <w:rPr>
                <w:rFonts w:ascii="Times New Roman"/>
                <w:sz w:val="21"/>
                <w:szCs w:val="21"/>
                <w:lang w:val="en-US"/>
              </w:rPr>
              <w:t xml:space="preserve">. </w:t>
            </w:r>
            <w:r>
              <w:rPr>
                <w:rFonts w:ascii="Times New Roman"/>
                <w:sz w:val="21"/>
                <w:szCs w:val="21"/>
              </w:rPr>
              <w:t>二手房价格对于住房特征和区位变化敏感性分析</w:t>
            </w:r>
            <w:r>
              <w:rPr>
                <w:rFonts w:ascii="Times New Roman"/>
                <w:sz w:val="21"/>
                <w:szCs w:val="21"/>
                <w:lang w:val="en-US"/>
              </w:rPr>
              <w:t xml:space="preserve">. </w:t>
            </w:r>
            <w:r>
              <w:rPr>
                <w:rFonts w:ascii="Times New Roman"/>
                <w:sz w:val="21"/>
                <w:szCs w:val="21"/>
              </w:rPr>
              <w:t>西南师范大学学报</w:t>
            </w:r>
            <w:r>
              <w:rPr>
                <w:rFonts w:ascii="Times New Roman"/>
                <w:sz w:val="21"/>
                <w:szCs w:val="21"/>
                <w:lang w:val="en-US"/>
              </w:rPr>
              <w:t>(</w:t>
            </w:r>
            <w:r>
              <w:rPr>
                <w:rFonts w:ascii="Times New Roman"/>
                <w:sz w:val="21"/>
                <w:szCs w:val="21"/>
              </w:rPr>
              <w:t>自然科学版</w:t>
            </w:r>
            <w:r>
              <w:rPr>
                <w:rFonts w:ascii="Times New Roman"/>
                <w:sz w:val="21"/>
                <w:szCs w:val="21"/>
                <w:lang w:val="en-US"/>
              </w:rPr>
              <w:t xml:space="preserve">). </w:t>
            </w:r>
            <w:r>
              <w:rPr>
                <w:rFonts w:ascii="Times New Roman"/>
                <w:sz w:val="21"/>
                <w:szCs w:val="21"/>
              </w:rPr>
              <w:t>2005;30(3):552-5. CSCD收录</w:t>
            </w:r>
          </w:p>
          <w:p>
            <w:pPr>
              <w:pStyle w:val="17"/>
              <w:spacing w:before="48" w:beforeLines="20"/>
              <w:rPr>
                <w:rFonts w:ascii="Times New Roman"/>
                <w:sz w:val="24"/>
              </w:rPr>
            </w:pPr>
            <w:r>
              <w:rPr>
                <w:rFonts w:hint="eastAsia" w:ascii="Times New Roman"/>
                <w:sz w:val="21"/>
                <w:szCs w:val="21"/>
              </w:rPr>
              <w:t xml:space="preserve">6. </w:t>
            </w:r>
            <w:r>
              <w:rPr>
                <w:rFonts w:ascii="Times New Roman"/>
                <w:sz w:val="21"/>
                <w:szCs w:val="21"/>
              </w:rPr>
              <w:t>成都市第十二次社会科学优秀成果三等奖，成都市人民政府</w:t>
            </w:r>
            <w:r>
              <w:rPr>
                <w:rFonts w:hint="eastAsia" w:ascii="Times New Roman"/>
                <w:sz w:val="21"/>
                <w:szCs w:val="21"/>
              </w:rPr>
              <w:t>，</w:t>
            </w:r>
            <w:r>
              <w:rPr>
                <w:rFonts w:ascii="Times New Roman"/>
                <w:sz w:val="21"/>
                <w:szCs w:val="21"/>
              </w:rPr>
              <w:t>No.证书号3-069-1</w:t>
            </w:r>
            <w:r>
              <w:rPr>
                <w:rFonts w:hint="eastAsia" w:ascii="Times New Roman"/>
                <w:sz w:val="21"/>
                <w:szCs w:val="21"/>
              </w:rPr>
              <w:t>，</w:t>
            </w:r>
            <w:r>
              <w:rPr>
                <w:rFonts w:ascii="Times New Roman"/>
                <w:sz w:val="21"/>
                <w:szCs w:val="21"/>
              </w:rPr>
              <w:t>第一排名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7"/>
              <w:spacing w:line="307" w:lineRule="exact"/>
              <w:ind w:left="107" w:right="98"/>
              <w:jc w:val="center"/>
              <w:rPr>
                <w:sz w:val="24"/>
              </w:rPr>
            </w:pPr>
            <w:r>
              <w:rPr>
                <w:sz w:val="24"/>
              </w:rPr>
              <w:t>近三年获得教学研究经</w:t>
            </w:r>
          </w:p>
          <w:p>
            <w:pPr>
              <w:pStyle w:val="17"/>
              <w:spacing w:before="4" w:line="292" w:lineRule="exact"/>
              <w:ind w:left="106" w:right="98"/>
              <w:jc w:val="center"/>
              <w:rPr>
                <w:sz w:val="24"/>
              </w:rPr>
            </w:pPr>
            <w:r>
              <w:rPr>
                <w:sz w:val="24"/>
              </w:rPr>
              <w:t>费（万元）</w:t>
            </w:r>
          </w:p>
        </w:tc>
        <w:tc>
          <w:tcPr>
            <w:tcW w:w="2306" w:type="dxa"/>
            <w:gridSpan w:val="3"/>
          </w:tcPr>
          <w:p>
            <w:pPr>
              <w:pStyle w:val="17"/>
              <w:rPr>
                <w:rFonts w:ascii="Times New Roman"/>
                <w:sz w:val="24"/>
              </w:rPr>
            </w:pPr>
            <w:r>
              <w:rPr>
                <w:rFonts w:hint="eastAsia" w:ascii="Times New Roman"/>
                <w:sz w:val="24"/>
              </w:rPr>
              <w:t>无</w:t>
            </w:r>
          </w:p>
        </w:tc>
        <w:tc>
          <w:tcPr>
            <w:tcW w:w="2305" w:type="dxa"/>
            <w:gridSpan w:val="2"/>
          </w:tcPr>
          <w:p>
            <w:pPr>
              <w:pStyle w:val="17"/>
              <w:spacing w:line="307" w:lineRule="exact"/>
              <w:ind w:left="106"/>
              <w:rPr>
                <w:sz w:val="24"/>
              </w:rPr>
            </w:pPr>
            <w:r>
              <w:rPr>
                <w:sz w:val="24"/>
              </w:rPr>
              <w:t>近三年获得科学研</w:t>
            </w:r>
          </w:p>
          <w:p>
            <w:pPr>
              <w:pStyle w:val="17"/>
              <w:spacing w:before="4" w:line="292" w:lineRule="exact"/>
              <w:ind w:left="106"/>
              <w:rPr>
                <w:sz w:val="24"/>
              </w:rPr>
            </w:pPr>
            <w:r>
              <w:rPr>
                <w:sz w:val="24"/>
              </w:rPr>
              <w:t>究经费（万元）</w:t>
            </w:r>
          </w:p>
        </w:tc>
        <w:tc>
          <w:tcPr>
            <w:tcW w:w="2310" w:type="dxa"/>
            <w:gridSpan w:val="3"/>
          </w:tcPr>
          <w:p>
            <w:pPr>
              <w:pStyle w:val="17"/>
              <w:rPr>
                <w:rFonts w:ascii="Times New Roman"/>
                <w:sz w:val="24"/>
              </w:rPr>
            </w:pPr>
            <w:r>
              <w:rPr>
                <w:rFonts w:hint="eastAsia" w:ascii="Times New Roman"/>
                <w:sz w:val="24"/>
              </w:rPr>
              <w:t>1万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tcPr>
          <w:p>
            <w:pPr>
              <w:pStyle w:val="17"/>
              <w:spacing w:line="307" w:lineRule="exact"/>
              <w:ind w:left="107" w:right="98"/>
              <w:jc w:val="center"/>
              <w:rPr>
                <w:sz w:val="24"/>
              </w:rPr>
            </w:pPr>
            <w:r>
              <w:rPr>
                <w:sz w:val="24"/>
              </w:rPr>
              <w:t>近三年给本科生授课</w:t>
            </w:r>
          </w:p>
          <w:p>
            <w:pPr>
              <w:pStyle w:val="17"/>
              <w:spacing w:before="4" w:line="294" w:lineRule="exact"/>
              <w:ind w:left="107" w:right="98"/>
              <w:jc w:val="center"/>
              <w:rPr>
                <w:sz w:val="24"/>
              </w:rPr>
            </w:pPr>
            <w:r>
              <w:rPr>
                <w:sz w:val="24"/>
              </w:rPr>
              <w:t>课程及学时数</w:t>
            </w:r>
          </w:p>
        </w:tc>
        <w:tc>
          <w:tcPr>
            <w:tcW w:w="2306" w:type="dxa"/>
            <w:gridSpan w:val="3"/>
          </w:tcPr>
          <w:p>
            <w:pPr>
              <w:pStyle w:val="17"/>
              <w:rPr>
                <w:rFonts w:ascii="Times New Roman"/>
                <w:sz w:val="18"/>
                <w:szCs w:val="18"/>
              </w:rPr>
            </w:pPr>
            <w:r>
              <w:rPr>
                <w:rFonts w:hint="eastAsia" w:ascii="Times New Roman"/>
                <w:sz w:val="24"/>
              </w:rPr>
              <w:t>旅游经济学 4</w:t>
            </w:r>
            <w:r>
              <w:rPr>
                <w:rFonts w:ascii="Times New Roman"/>
                <w:sz w:val="24"/>
              </w:rPr>
              <w:t>8</w:t>
            </w:r>
            <w:r>
              <w:rPr>
                <w:rFonts w:hint="eastAsia" w:ascii="Times New Roman"/>
                <w:sz w:val="24"/>
              </w:rPr>
              <w:t>学时</w:t>
            </w:r>
          </w:p>
        </w:tc>
        <w:tc>
          <w:tcPr>
            <w:tcW w:w="2305" w:type="dxa"/>
            <w:gridSpan w:val="2"/>
          </w:tcPr>
          <w:p>
            <w:pPr>
              <w:pStyle w:val="17"/>
              <w:spacing w:line="307" w:lineRule="exact"/>
              <w:ind w:left="106"/>
              <w:rPr>
                <w:sz w:val="24"/>
              </w:rPr>
            </w:pPr>
            <w:r>
              <w:rPr>
                <w:sz w:val="24"/>
              </w:rPr>
              <w:t>近三年指导本科毕</w:t>
            </w:r>
          </w:p>
          <w:p>
            <w:pPr>
              <w:pStyle w:val="17"/>
              <w:spacing w:before="4" w:line="294" w:lineRule="exact"/>
              <w:ind w:left="106"/>
              <w:rPr>
                <w:sz w:val="24"/>
              </w:rPr>
            </w:pPr>
            <w:r>
              <w:rPr>
                <w:sz w:val="24"/>
              </w:rPr>
              <w:t>业设计（人次）</w:t>
            </w:r>
          </w:p>
        </w:tc>
        <w:tc>
          <w:tcPr>
            <w:tcW w:w="2310" w:type="dxa"/>
            <w:gridSpan w:val="3"/>
          </w:tcPr>
          <w:p>
            <w:pPr>
              <w:pStyle w:val="17"/>
              <w:rPr>
                <w:rFonts w:ascii="Times New Roman"/>
                <w:sz w:val="24"/>
              </w:rPr>
            </w:pPr>
            <w:r>
              <w:rPr>
                <w:rFonts w:ascii="Times New Roman"/>
                <w:sz w:val="24"/>
              </w:rPr>
              <w:t>5</w:t>
            </w:r>
          </w:p>
        </w:tc>
      </w:tr>
    </w:tbl>
    <w:p>
      <w:pPr>
        <w:spacing w:line="362" w:lineRule="exact"/>
        <w:ind w:left="458"/>
        <w:rPr>
          <w:sz w:val="24"/>
        </w:rPr>
      </w:pPr>
      <w:r>
        <w:rPr>
          <w:rFonts w:hint="eastAsia" w:ascii="Microsoft JhengHei" w:eastAsia="Microsoft JhengHei"/>
          <w:b/>
          <w:sz w:val="24"/>
        </w:rPr>
        <w:t>注：</w:t>
      </w:r>
      <w:r>
        <w:rPr>
          <w:spacing w:val="-1"/>
          <w:sz w:val="24"/>
        </w:rPr>
        <w:t>填写三至五人，只填本专业专任教师，每人一表。</w:t>
      </w:r>
    </w:p>
    <w:p>
      <w:pPr>
        <w:spacing w:line="362" w:lineRule="exact"/>
        <w:rPr>
          <w:sz w:val="24"/>
        </w:rPr>
      </w:pPr>
    </w:p>
    <w:p>
      <w:pPr>
        <w:rPr>
          <w:sz w:val="20"/>
        </w:rPr>
      </w:pPr>
    </w:p>
    <w:p>
      <w:pPr>
        <w:rPr>
          <w:sz w:val="20"/>
        </w:rPr>
      </w:pPr>
    </w:p>
    <w:p>
      <w:pPr>
        <w:rPr>
          <w:sz w:val="20"/>
        </w:rPr>
      </w:pPr>
    </w:p>
    <w:p>
      <w:pPr>
        <w:rPr>
          <w:sz w:val="20"/>
        </w:rPr>
      </w:pPr>
    </w:p>
    <w:p>
      <w:pPr>
        <w:rPr>
          <w:sz w:val="20"/>
        </w:rPr>
      </w:pPr>
    </w:p>
    <w:p>
      <w:pPr>
        <w:rPr>
          <w:sz w:val="20"/>
        </w:rPr>
      </w:pPr>
    </w:p>
    <w:p>
      <w:pPr>
        <w:spacing w:before="5"/>
        <w:rPr>
          <w:sz w:val="21"/>
        </w:rPr>
      </w:pPr>
    </w:p>
    <w:tbl>
      <w:tblPr>
        <w:tblStyle w:val="15"/>
        <w:tblW w:w="957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tcPr>
          <w:p>
            <w:pPr>
              <w:pStyle w:val="17"/>
              <w:spacing w:before="14" w:line="306" w:lineRule="exact"/>
              <w:ind w:left="239"/>
              <w:rPr>
                <w:sz w:val="24"/>
              </w:rPr>
            </w:pPr>
            <w:r>
              <w:rPr>
                <w:sz w:val="24"/>
              </w:rPr>
              <w:t>姓名</w:t>
            </w:r>
          </w:p>
        </w:tc>
        <w:tc>
          <w:tcPr>
            <w:tcW w:w="1438" w:type="dxa"/>
          </w:tcPr>
          <w:p>
            <w:pPr>
              <w:pStyle w:val="17"/>
              <w:rPr>
                <w:rFonts w:hint="eastAsia" w:ascii="Times New Roman" w:eastAsia="宋体"/>
                <w:sz w:val="24"/>
                <w:lang w:eastAsia="zh-CN"/>
              </w:rPr>
            </w:pPr>
            <w:r>
              <w:rPr>
                <w:rFonts w:hint="eastAsia" w:ascii="Times New Roman"/>
                <w:sz w:val="24"/>
                <w:lang w:eastAsia="zh-CN"/>
              </w:rPr>
              <w:t>陈颖</w:t>
            </w:r>
          </w:p>
        </w:tc>
        <w:tc>
          <w:tcPr>
            <w:tcW w:w="1246" w:type="dxa"/>
            <w:gridSpan w:val="2"/>
          </w:tcPr>
          <w:p>
            <w:pPr>
              <w:pStyle w:val="17"/>
              <w:spacing w:before="14" w:line="306" w:lineRule="exact"/>
              <w:ind w:left="381"/>
              <w:rPr>
                <w:sz w:val="24"/>
              </w:rPr>
            </w:pPr>
            <w:r>
              <w:rPr>
                <w:sz w:val="24"/>
              </w:rPr>
              <w:t>性别</w:t>
            </w:r>
          </w:p>
        </w:tc>
        <w:tc>
          <w:tcPr>
            <w:tcW w:w="879" w:type="dxa"/>
          </w:tcPr>
          <w:p>
            <w:pPr>
              <w:pStyle w:val="17"/>
              <w:rPr>
                <w:rFonts w:ascii="Times New Roman"/>
                <w:sz w:val="24"/>
              </w:rPr>
            </w:pPr>
            <w:r>
              <w:rPr>
                <w:rFonts w:hint="eastAsia" w:ascii="Times New Roman"/>
                <w:sz w:val="24"/>
              </w:rPr>
              <w:t>男</w:t>
            </w:r>
          </w:p>
        </w:tc>
        <w:tc>
          <w:tcPr>
            <w:tcW w:w="1720" w:type="dxa"/>
            <w:gridSpan w:val="2"/>
          </w:tcPr>
          <w:p>
            <w:pPr>
              <w:pStyle w:val="17"/>
              <w:spacing w:before="14" w:line="306" w:lineRule="exact"/>
              <w:ind w:left="138"/>
              <w:rPr>
                <w:sz w:val="24"/>
              </w:rPr>
            </w:pPr>
            <w:r>
              <w:rPr>
                <w:sz w:val="24"/>
              </w:rPr>
              <w:t>专业技术职务</w:t>
            </w:r>
          </w:p>
        </w:tc>
        <w:tc>
          <w:tcPr>
            <w:tcW w:w="1112" w:type="dxa"/>
            <w:gridSpan w:val="2"/>
          </w:tcPr>
          <w:p>
            <w:pPr>
              <w:pStyle w:val="17"/>
              <w:rPr>
                <w:rFonts w:hint="eastAsia" w:ascii="Times New Roman" w:eastAsia="宋体"/>
                <w:sz w:val="24"/>
                <w:lang w:eastAsia="zh-CN"/>
              </w:rPr>
            </w:pPr>
            <w:r>
              <w:rPr>
                <w:rFonts w:hint="eastAsia" w:ascii="Times New Roman"/>
                <w:sz w:val="24"/>
                <w:lang w:eastAsia="zh-CN"/>
              </w:rPr>
              <w:t>讲师</w:t>
            </w:r>
          </w:p>
        </w:tc>
        <w:tc>
          <w:tcPr>
            <w:tcW w:w="1229" w:type="dxa"/>
          </w:tcPr>
          <w:p>
            <w:pPr>
              <w:pStyle w:val="17"/>
              <w:spacing w:before="14" w:line="306" w:lineRule="exact"/>
              <w:ind w:left="131"/>
              <w:rPr>
                <w:sz w:val="24"/>
              </w:rPr>
            </w:pPr>
            <w:r>
              <w:rPr>
                <w:sz w:val="24"/>
              </w:rPr>
              <w:t>行政职务</w:t>
            </w:r>
          </w:p>
        </w:tc>
        <w:tc>
          <w:tcPr>
            <w:tcW w:w="992" w:type="dxa"/>
          </w:tcPr>
          <w:p>
            <w:pPr>
              <w:pStyle w:val="17"/>
              <w:rPr>
                <w:rFonts w:hint="eastAsia" w:ascii="Times New Roman" w:eastAsia="宋体"/>
                <w:sz w:val="24"/>
                <w:lang w:eastAsia="zh-CN"/>
              </w:rPr>
            </w:pPr>
            <w:r>
              <w:rPr>
                <w:rFonts w:hint="eastAsia" w:ascii="Times New Roman"/>
                <w:sz w:val="24"/>
                <w:lang w:eastAsia="zh-CN"/>
              </w:rPr>
              <w:t>旅游管理系主任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tcPr>
          <w:p>
            <w:pPr>
              <w:pStyle w:val="17"/>
              <w:spacing w:line="307" w:lineRule="exact"/>
              <w:ind w:left="99" w:right="90"/>
              <w:jc w:val="center"/>
              <w:rPr>
                <w:sz w:val="24"/>
              </w:rPr>
            </w:pPr>
            <w:r>
              <w:rPr>
                <w:sz w:val="24"/>
              </w:rPr>
              <w:t>拟承担</w:t>
            </w:r>
          </w:p>
          <w:p>
            <w:pPr>
              <w:pStyle w:val="17"/>
              <w:spacing w:before="4" w:line="292" w:lineRule="exact"/>
              <w:ind w:left="99" w:right="90"/>
              <w:jc w:val="center"/>
              <w:rPr>
                <w:sz w:val="24"/>
              </w:rPr>
            </w:pPr>
            <w:r>
              <w:rPr>
                <w:sz w:val="24"/>
              </w:rPr>
              <w:t>课程</w:t>
            </w:r>
          </w:p>
        </w:tc>
        <w:tc>
          <w:tcPr>
            <w:tcW w:w="3563" w:type="dxa"/>
            <w:gridSpan w:val="4"/>
          </w:tcPr>
          <w:p>
            <w:pPr>
              <w:pStyle w:val="17"/>
              <w:spacing w:before="158"/>
              <w:ind w:firstLine="240" w:firstLineChars="100"/>
              <w:rPr>
                <w:rFonts w:hint="eastAsia" w:ascii="Times New Roman" w:eastAsia="宋体"/>
                <w:sz w:val="24"/>
                <w:lang w:eastAsia="zh-CN"/>
              </w:rPr>
            </w:pPr>
            <w:r>
              <w:rPr>
                <w:rFonts w:hint="eastAsia"/>
                <w:sz w:val="24"/>
              </w:rPr>
              <w:t>旅游</w:t>
            </w:r>
            <w:r>
              <w:rPr>
                <w:rFonts w:hint="eastAsia"/>
                <w:sz w:val="24"/>
                <w:lang w:eastAsia="zh-CN"/>
              </w:rPr>
              <w:t>学概论</w:t>
            </w:r>
          </w:p>
        </w:tc>
        <w:tc>
          <w:tcPr>
            <w:tcW w:w="1720" w:type="dxa"/>
            <w:gridSpan w:val="2"/>
          </w:tcPr>
          <w:p>
            <w:pPr>
              <w:pStyle w:val="17"/>
              <w:spacing w:before="155"/>
              <w:ind w:left="138"/>
              <w:rPr>
                <w:sz w:val="24"/>
              </w:rPr>
            </w:pPr>
            <w:r>
              <w:rPr>
                <w:sz w:val="24"/>
              </w:rPr>
              <w:t>现在所在单位</w:t>
            </w:r>
          </w:p>
        </w:tc>
        <w:tc>
          <w:tcPr>
            <w:tcW w:w="3333" w:type="dxa"/>
            <w:gridSpan w:val="4"/>
          </w:tcPr>
          <w:p>
            <w:pPr>
              <w:pStyle w:val="17"/>
              <w:spacing w:before="158"/>
              <w:ind w:firstLine="240" w:firstLineChars="100"/>
              <w:rPr>
                <w:rFonts w:ascii="Times New Roman"/>
                <w:sz w:val="24"/>
              </w:rPr>
            </w:pPr>
            <w:r>
              <w:rPr>
                <w:rFonts w:hint="eastAsia"/>
                <w:sz w:val="24"/>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7"/>
              <w:spacing w:line="307" w:lineRule="exact"/>
              <w:ind w:left="107"/>
              <w:rPr>
                <w:sz w:val="24"/>
              </w:rPr>
            </w:pPr>
            <w:r>
              <w:rPr>
                <w:sz w:val="24"/>
              </w:rPr>
              <w:t>最后学历毕业时间、</w:t>
            </w:r>
          </w:p>
          <w:p>
            <w:pPr>
              <w:pStyle w:val="17"/>
              <w:spacing w:before="4" w:line="292" w:lineRule="exact"/>
              <w:ind w:left="777"/>
              <w:rPr>
                <w:sz w:val="24"/>
              </w:rPr>
            </w:pPr>
            <w:r>
              <w:rPr>
                <w:sz w:val="24"/>
              </w:rPr>
              <w:t>学校、专业</w:t>
            </w:r>
          </w:p>
        </w:tc>
        <w:tc>
          <w:tcPr>
            <w:tcW w:w="6921" w:type="dxa"/>
            <w:gridSpan w:val="8"/>
          </w:tcPr>
          <w:p>
            <w:pPr>
              <w:pStyle w:val="17"/>
              <w:spacing w:before="158"/>
              <w:ind w:firstLine="240" w:firstLineChars="100"/>
              <w:rPr>
                <w:rFonts w:ascii="Times New Roman"/>
                <w:sz w:val="24"/>
              </w:rPr>
            </w:pPr>
            <w:r>
              <w:rPr>
                <w:rFonts w:hint="eastAsia"/>
                <w:sz w:val="24"/>
                <w:lang w:eastAsia="zh-CN"/>
              </w:rPr>
              <w:t>博士</w:t>
            </w:r>
            <w:r>
              <w:rPr>
                <w:rFonts w:hint="eastAsia"/>
                <w:sz w:val="24"/>
              </w:rPr>
              <w:t>、</w:t>
            </w:r>
            <w:r>
              <w:rPr>
                <w:rFonts w:hint="eastAsia"/>
                <w:sz w:val="24"/>
                <w:lang w:val="en-US" w:eastAsia="zh-CN"/>
              </w:rPr>
              <w:t>201</w:t>
            </w:r>
            <w:r>
              <w:rPr>
                <w:rFonts w:hint="eastAsia"/>
                <w:sz w:val="24"/>
              </w:rPr>
              <w:t>年、</w:t>
            </w:r>
            <w:r>
              <w:rPr>
                <w:rFonts w:hint="eastAsia"/>
                <w:sz w:val="24"/>
                <w:lang w:eastAsia="zh-CN"/>
              </w:rPr>
              <w:t>四川农业</w:t>
            </w:r>
            <w:r>
              <w:rPr>
                <w:rFonts w:hint="eastAsia"/>
                <w:sz w:val="24"/>
              </w:rPr>
              <w:t>大学、</w:t>
            </w:r>
            <w:r>
              <w:rPr>
                <w:rFonts w:hint="eastAsia"/>
                <w:sz w:val="24"/>
                <w:lang w:eastAsia="zh-CN"/>
              </w:rPr>
              <w:t>森林培育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tcPr>
          <w:p>
            <w:pPr>
              <w:pStyle w:val="17"/>
              <w:spacing w:before="158"/>
              <w:ind w:left="606"/>
              <w:rPr>
                <w:sz w:val="24"/>
              </w:rPr>
            </w:pPr>
            <w:r>
              <w:rPr>
                <w:sz w:val="24"/>
              </w:rPr>
              <w:t>主要研究方向</w:t>
            </w:r>
          </w:p>
        </w:tc>
        <w:tc>
          <w:tcPr>
            <w:tcW w:w="6921" w:type="dxa"/>
            <w:gridSpan w:val="8"/>
          </w:tcPr>
          <w:p>
            <w:pPr>
              <w:pStyle w:val="17"/>
              <w:spacing w:before="158"/>
              <w:ind w:firstLine="240" w:firstLineChars="100"/>
              <w:rPr>
                <w:rFonts w:hint="eastAsia" w:ascii="Times New Roman" w:eastAsia="宋体"/>
                <w:sz w:val="24"/>
                <w:lang w:eastAsia="zh-CN"/>
              </w:rPr>
            </w:pPr>
            <w:r>
              <w:rPr>
                <w:rFonts w:hint="eastAsia"/>
                <w:sz w:val="24"/>
              </w:rPr>
              <w:t>旅游规划</w:t>
            </w:r>
            <w:r>
              <w:rPr>
                <w:rFonts w:hint="eastAsia"/>
                <w:sz w:val="24"/>
                <w:lang w:eastAsia="zh-CN"/>
              </w:rPr>
              <w:t>、旅游资源管理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tcPr>
          <w:p>
            <w:pPr>
              <w:pStyle w:val="17"/>
              <w:spacing w:line="244" w:lineRule="auto"/>
              <w:ind w:left="126" w:right="117"/>
              <w:jc w:val="both"/>
              <w:rPr>
                <w:sz w:val="24"/>
              </w:rPr>
            </w:pPr>
            <w:r>
              <w:rPr>
                <w:sz w:val="24"/>
              </w:rPr>
              <w:t>从事教育教学改革研究及获奖情况（含教改项目、研究论文、慕课、</w:t>
            </w:r>
          </w:p>
          <w:p>
            <w:pPr>
              <w:pStyle w:val="17"/>
              <w:spacing w:line="287" w:lineRule="exact"/>
              <w:ind w:left="846"/>
              <w:rPr>
                <w:sz w:val="24"/>
              </w:rPr>
            </w:pPr>
            <w:r>
              <w:rPr>
                <w:sz w:val="24"/>
              </w:rPr>
              <w:t>教材等）</w:t>
            </w:r>
          </w:p>
        </w:tc>
        <w:tc>
          <w:tcPr>
            <w:tcW w:w="6921" w:type="dxa"/>
            <w:gridSpan w:val="8"/>
          </w:tcPr>
          <w:p>
            <w:pPr>
              <w:pStyle w:val="17"/>
              <w:numPr>
                <w:ilvl w:val="0"/>
                <w:numId w:val="3"/>
              </w:numPr>
              <w:spacing w:before="48" w:beforeLines="20"/>
              <w:rPr>
                <w:rFonts w:hint="eastAsia" w:ascii="Times New Roman"/>
                <w:sz w:val="21"/>
                <w:szCs w:val="21"/>
                <w:lang w:val="en-US" w:eastAsia="zh-CN"/>
              </w:rPr>
            </w:pPr>
            <w:r>
              <w:rPr>
                <w:rFonts w:hint="eastAsia" w:ascii="Times New Roman"/>
                <w:sz w:val="21"/>
                <w:szCs w:val="21"/>
                <w:lang w:eastAsia="zh-CN"/>
              </w:rPr>
              <w:t>旅游管理专业创意型人才培养研究，成都大学</w:t>
            </w:r>
            <w:r>
              <w:rPr>
                <w:rFonts w:hint="eastAsia" w:ascii="Times New Roman"/>
                <w:sz w:val="21"/>
                <w:szCs w:val="21"/>
                <w:lang w:val="en-US" w:eastAsia="zh-CN"/>
              </w:rPr>
              <w:t>2019年教改课题。</w:t>
            </w:r>
          </w:p>
          <w:p>
            <w:pPr>
              <w:pStyle w:val="17"/>
              <w:numPr>
                <w:ilvl w:val="0"/>
                <w:numId w:val="3"/>
              </w:numPr>
              <w:spacing w:before="48" w:beforeLines="20"/>
              <w:rPr>
                <w:rFonts w:hint="default" w:ascii="Times New Roman"/>
                <w:sz w:val="21"/>
                <w:szCs w:val="21"/>
                <w:lang w:val="en-US" w:eastAsia="zh-CN"/>
              </w:rPr>
            </w:pPr>
            <w:r>
              <w:rPr>
                <w:rFonts w:hint="eastAsia" w:ascii="Times New Roman"/>
                <w:sz w:val="21"/>
                <w:szCs w:val="21"/>
                <w:lang w:val="en-US" w:eastAsia="zh-CN"/>
              </w:rPr>
              <w:t>旅游资源学，2016年。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7"/>
              <w:ind w:left="606"/>
              <w:rPr>
                <w:sz w:val="24"/>
              </w:rPr>
            </w:pPr>
            <w:r>
              <w:rPr>
                <w:sz w:val="24"/>
              </w:rPr>
              <w:t>从事科学研究</w:t>
            </w:r>
          </w:p>
          <w:p>
            <w:pPr>
              <w:pStyle w:val="17"/>
              <w:spacing w:before="4" w:line="292" w:lineRule="exact"/>
              <w:ind w:left="726"/>
              <w:rPr>
                <w:sz w:val="24"/>
              </w:rPr>
            </w:pPr>
            <w:r>
              <w:rPr>
                <w:sz w:val="24"/>
              </w:rPr>
              <w:t>及获奖情况</w:t>
            </w:r>
          </w:p>
        </w:tc>
        <w:tc>
          <w:tcPr>
            <w:tcW w:w="6921" w:type="dxa"/>
            <w:gridSpan w:val="8"/>
          </w:tcPr>
          <w:p>
            <w:pPr>
              <w:pStyle w:val="17"/>
              <w:spacing w:before="48" w:beforeLines="20"/>
              <w:rPr>
                <w:rFonts w:ascii="Times New Roman"/>
                <w:sz w:val="21"/>
                <w:szCs w:val="21"/>
              </w:rPr>
            </w:pPr>
            <w:r>
              <w:rPr>
                <w:rFonts w:hint="eastAsia" w:ascii="Times New Roman"/>
                <w:sz w:val="21"/>
                <w:szCs w:val="21"/>
              </w:rPr>
              <w:t xml:space="preserve">1. </w:t>
            </w:r>
            <w:r>
              <w:rPr>
                <w:rFonts w:hint="eastAsia" w:ascii="Times New Roman"/>
                <w:sz w:val="21"/>
                <w:szCs w:val="21"/>
                <w:lang w:eastAsia="zh-CN"/>
              </w:rPr>
              <w:t>旅游标准化理论与实践</w:t>
            </w:r>
            <w:r>
              <w:rPr>
                <w:rFonts w:hint="eastAsia" w:ascii="Times New Roman"/>
                <w:sz w:val="21"/>
                <w:szCs w:val="21"/>
              </w:rPr>
              <w:t>，</w:t>
            </w:r>
            <w:r>
              <w:rPr>
                <w:rFonts w:hint="eastAsia" w:ascii="Times New Roman"/>
                <w:sz w:val="21"/>
                <w:szCs w:val="21"/>
                <w:lang w:eastAsia="zh-CN"/>
              </w:rPr>
              <w:t>成都市</w:t>
            </w:r>
            <w:r>
              <w:rPr>
                <w:rFonts w:hint="eastAsia" w:ascii="Times New Roman"/>
                <w:sz w:val="21"/>
                <w:szCs w:val="21"/>
              </w:rPr>
              <w:t>第十</w:t>
            </w:r>
            <w:r>
              <w:rPr>
                <w:rFonts w:hint="eastAsia" w:ascii="Times New Roman"/>
                <w:sz w:val="21"/>
                <w:szCs w:val="21"/>
                <w:lang w:eastAsia="zh-CN"/>
              </w:rPr>
              <w:t>四</w:t>
            </w:r>
            <w:r>
              <w:rPr>
                <w:rFonts w:hint="eastAsia" w:ascii="Times New Roman"/>
                <w:sz w:val="21"/>
                <w:szCs w:val="21"/>
              </w:rPr>
              <w:t>次社会科学</w:t>
            </w:r>
            <w:r>
              <w:rPr>
                <w:rFonts w:hint="eastAsia" w:ascii="Times New Roman"/>
                <w:sz w:val="21"/>
                <w:szCs w:val="21"/>
                <w:lang w:eastAsia="zh-CN"/>
              </w:rPr>
              <w:t>三等</w:t>
            </w:r>
            <w:r>
              <w:rPr>
                <w:rFonts w:hint="eastAsia" w:ascii="Times New Roman"/>
                <w:sz w:val="21"/>
                <w:szCs w:val="21"/>
              </w:rPr>
              <w:t>奖</w:t>
            </w:r>
          </w:p>
          <w:p>
            <w:pPr>
              <w:pStyle w:val="17"/>
              <w:spacing w:before="48" w:beforeLines="20"/>
              <w:rPr>
                <w:rFonts w:hint="default" w:ascii="Times New Roman" w:eastAsia="宋体"/>
                <w:sz w:val="24"/>
                <w:lang w:val="en-US" w:eastAsia="zh-CN"/>
              </w:rPr>
            </w:pPr>
            <w:r>
              <w:rPr>
                <w:rFonts w:hint="eastAsia" w:ascii="Times New Roman"/>
                <w:sz w:val="21"/>
                <w:szCs w:val="21"/>
              </w:rPr>
              <w:t xml:space="preserve">2. </w:t>
            </w:r>
            <w:r>
              <w:rPr>
                <w:rFonts w:hint="eastAsia" w:ascii="Times New Roman"/>
                <w:sz w:val="21"/>
                <w:szCs w:val="21"/>
                <w:lang w:val="en-US" w:eastAsia="zh-CN"/>
              </w:rPr>
              <w:t>2018年国家社科基金一般项目主持人，《高原藏区旅游扶贫模式及受益模式研究》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7"/>
              <w:spacing w:line="307" w:lineRule="exact"/>
              <w:ind w:left="107" w:right="98"/>
              <w:jc w:val="center"/>
              <w:rPr>
                <w:sz w:val="24"/>
              </w:rPr>
            </w:pPr>
            <w:r>
              <w:rPr>
                <w:sz w:val="24"/>
              </w:rPr>
              <w:t>近三年获得教学研究经</w:t>
            </w:r>
          </w:p>
          <w:p>
            <w:pPr>
              <w:pStyle w:val="17"/>
              <w:spacing w:before="4" w:line="292" w:lineRule="exact"/>
              <w:ind w:left="106" w:right="98"/>
              <w:jc w:val="center"/>
              <w:rPr>
                <w:sz w:val="24"/>
              </w:rPr>
            </w:pPr>
            <w:r>
              <w:rPr>
                <w:sz w:val="24"/>
              </w:rPr>
              <w:t>费（万元）</w:t>
            </w:r>
          </w:p>
        </w:tc>
        <w:tc>
          <w:tcPr>
            <w:tcW w:w="2306" w:type="dxa"/>
            <w:gridSpan w:val="3"/>
          </w:tcPr>
          <w:p>
            <w:pPr>
              <w:pStyle w:val="17"/>
              <w:rPr>
                <w:rFonts w:ascii="Times New Roman"/>
                <w:sz w:val="24"/>
              </w:rPr>
            </w:pPr>
            <w:r>
              <w:rPr>
                <w:rFonts w:hint="eastAsia" w:ascii="Times New Roman"/>
                <w:sz w:val="24"/>
              </w:rPr>
              <w:t>2</w:t>
            </w:r>
          </w:p>
        </w:tc>
        <w:tc>
          <w:tcPr>
            <w:tcW w:w="2305" w:type="dxa"/>
            <w:gridSpan w:val="2"/>
          </w:tcPr>
          <w:p>
            <w:pPr>
              <w:pStyle w:val="17"/>
              <w:spacing w:line="307" w:lineRule="exact"/>
              <w:ind w:left="106"/>
              <w:rPr>
                <w:sz w:val="24"/>
              </w:rPr>
            </w:pPr>
            <w:r>
              <w:rPr>
                <w:sz w:val="24"/>
              </w:rPr>
              <w:t>近三年获得科学研</w:t>
            </w:r>
          </w:p>
          <w:p>
            <w:pPr>
              <w:pStyle w:val="17"/>
              <w:spacing w:before="4" w:line="292" w:lineRule="exact"/>
              <w:ind w:left="106"/>
              <w:rPr>
                <w:sz w:val="24"/>
              </w:rPr>
            </w:pPr>
            <w:r>
              <w:rPr>
                <w:sz w:val="24"/>
              </w:rPr>
              <w:t>究经费（万元）</w:t>
            </w:r>
          </w:p>
        </w:tc>
        <w:tc>
          <w:tcPr>
            <w:tcW w:w="2310" w:type="dxa"/>
            <w:gridSpan w:val="3"/>
          </w:tcPr>
          <w:p>
            <w:pPr>
              <w:pStyle w:val="17"/>
              <w:rPr>
                <w:rFonts w:ascii="Times New Roman"/>
                <w:sz w:val="24"/>
              </w:rPr>
            </w:pPr>
            <w:r>
              <w:rPr>
                <w:rFonts w:hint="eastAsia" w:ascii="Times New Roman"/>
                <w:sz w:val="24"/>
                <w:lang w:val="en-US" w:eastAsia="zh-CN"/>
              </w:rPr>
              <w:t>40</w:t>
            </w:r>
            <w:r>
              <w:rPr>
                <w:rFonts w:hint="eastAsia" w:ascii="Times New Roman"/>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7"/>
              <w:spacing w:line="307" w:lineRule="exact"/>
              <w:ind w:left="107" w:right="98"/>
              <w:jc w:val="center"/>
              <w:rPr>
                <w:sz w:val="24"/>
              </w:rPr>
            </w:pPr>
            <w:r>
              <w:rPr>
                <w:sz w:val="24"/>
              </w:rPr>
              <w:t>近三年给本科生授课</w:t>
            </w:r>
          </w:p>
          <w:p>
            <w:pPr>
              <w:pStyle w:val="17"/>
              <w:spacing w:before="4" w:line="292" w:lineRule="exact"/>
              <w:ind w:left="106" w:right="98"/>
              <w:jc w:val="center"/>
              <w:rPr>
                <w:sz w:val="24"/>
              </w:rPr>
            </w:pPr>
            <w:r>
              <w:rPr>
                <w:sz w:val="24"/>
              </w:rPr>
              <w:t>课程及学时数</w:t>
            </w:r>
          </w:p>
        </w:tc>
        <w:tc>
          <w:tcPr>
            <w:tcW w:w="2306" w:type="dxa"/>
            <w:gridSpan w:val="3"/>
          </w:tcPr>
          <w:p>
            <w:pPr>
              <w:pStyle w:val="17"/>
              <w:rPr>
                <w:rFonts w:hint="default" w:ascii="Times New Roman" w:eastAsia="宋体"/>
                <w:sz w:val="24"/>
                <w:lang w:val="en-US" w:eastAsia="zh-CN"/>
              </w:rPr>
            </w:pPr>
            <w:r>
              <w:rPr>
                <w:rFonts w:hint="eastAsia" w:ascii="Times New Roman"/>
                <w:sz w:val="24"/>
                <w:lang w:val="en-US" w:eastAsia="zh-CN"/>
              </w:rPr>
              <w:t>600</w:t>
            </w:r>
          </w:p>
        </w:tc>
        <w:tc>
          <w:tcPr>
            <w:tcW w:w="2305" w:type="dxa"/>
            <w:gridSpan w:val="2"/>
          </w:tcPr>
          <w:p>
            <w:pPr>
              <w:pStyle w:val="17"/>
              <w:spacing w:line="307" w:lineRule="exact"/>
              <w:ind w:left="106"/>
              <w:rPr>
                <w:sz w:val="24"/>
              </w:rPr>
            </w:pPr>
            <w:r>
              <w:rPr>
                <w:sz w:val="24"/>
              </w:rPr>
              <w:t>近三年指导本科毕</w:t>
            </w:r>
          </w:p>
          <w:p>
            <w:pPr>
              <w:pStyle w:val="17"/>
              <w:spacing w:before="4" w:line="292" w:lineRule="exact"/>
              <w:ind w:left="106"/>
              <w:rPr>
                <w:sz w:val="24"/>
              </w:rPr>
            </w:pPr>
            <w:r>
              <w:rPr>
                <w:sz w:val="24"/>
              </w:rPr>
              <w:t>业设计（人次）</w:t>
            </w:r>
          </w:p>
        </w:tc>
        <w:tc>
          <w:tcPr>
            <w:tcW w:w="2310" w:type="dxa"/>
            <w:gridSpan w:val="3"/>
          </w:tcPr>
          <w:p>
            <w:pPr>
              <w:pStyle w:val="17"/>
              <w:rPr>
                <w:rFonts w:ascii="Times New Roman"/>
                <w:sz w:val="24"/>
              </w:rPr>
            </w:pPr>
            <w:r>
              <w:rPr>
                <w:rFonts w:hint="eastAsia" w:ascii="Times New Roman"/>
                <w:sz w:val="24"/>
                <w:lang w:val="en-US" w:eastAsia="zh-CN"/>
              </w:rPr>
              <w:t>27</w:t>
            </w:r>
            <w:r>
              <w:rPr>
                <w:rFonts w:hint="eastAsia" w:ascii="Times New Roman"/>
                <w:sz w:val="24"/>
              </w:rPr>
              <w:t>人</w:t>
            </w:r>
          </w:p>
        </w:tc>
      </w:tr>
    </w:tbl>
    <w:p>
      <w:pPr>
        <w:spacing w:line="362" w:lineRule="exact"/>
        <w:ind w:left="458"/>
        <w:rPr>
          <w:sz w:val="24"/>
        </w:rPr>
      </w:pPr>
      <w:r>
        <w:rPr>
          <w:rFonts w:hint="eastAsia" w:ascii="Microsoft JhengHei" w:eastAsia="Microsoft JhengHei"/>
          <w:b/>
          <w:sz w:val="24"/>
        </w:rPr>
        <w:t>注：</w:t>
      </w:r>
      <w:r>
        <w:rPr>
          <w:spacing w:val="-1"/>
          <w:sz w:val="24"/>
        </w:rPr>
        <w:t>填写三至五人，只填本专业专任教师，每人一表。</w:t>
      </w:r>
    </w:p>
    <w:p>
      <w:pPr>
        <w:spacing w:line="362" w:lineRule="exact"/>
        <w:rPr>
          <w:sz w:val="24"/>
        </w:rPr>
        <w:sectPr>
          <w:headerReference r:id="rId5" w:type="default"/>
          <w:pgSz w:w="11910" w:h="16840"/>
          <w:pgMar w:top="1760" w:right="660" w:bottom="280" w:left="1200" w:header="1409" w:footer="0" w:gutter="0"/>
          <w:cols w:space="720" w:num="1"/>
        </w:sectPr>
      </w:pPr>
    </w:p>
    <w:p>
      <w:pPr>
        <w:spacing w:before="4"/>
        <w:rPr>
          <w:sz w:val="10"/>
        </w:rPr>
      </w:pPr>
    </w:p>
    <w:tbl>
      <w:tblPr>
        <w:tblStyle w:val="15"/>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60"/>
        <w:gridCol w:w="2125"/>
        <w:gridCol w:w="2696"/>
        <w:gridCol w:w="2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7"/>
              <w:spacing w:line="307" w:lineRule="exact"/>
              <w:ind w:left="129"/>
              <w:rPr>
                <w:sz w:val="24"/>
              </w:rPr>
            </w:pPr>
            <w:r>
              <w:rPr>
                <w:spacing w:val="-1"/>
                <w:sz w:val="24"/>
              </w:rPr>
              <w:t>可用于该专业的教学实</w:t>
            </w:r>
          </w:p>
          <w:p>
            <w:pPr>
              <w:pStyle w:val="17"/>
              <w:spacing w:before="4" w:line="292" w:lineRule="exact"/>
              <w:ind w:left="129"/>
              <w:rPr>
                <w:sz w:val="24"/>
              </w:rPr>
            </w:pPr>
            <w:r>
              <w:rPr>
                <w:spacing w:val="-1"/>
                <w:sz w:val="24"/>
              </w:rPr>
              <w:t>验设备总价值</w:t>
            </w:r>
            <w:r>
              <w:rPr>
                <w:sz w:val="24"/>
              </w:rPr>
              <w:t>（万元）</w:t>
            </w:r>
          </w:p>
        </w:tc>
        <w:tc>
          <w:tcPr>
            <w:tcW w:w="2125" w:type="dxa"/>
            <w:tcBorders>
              <w:left w:val="single" w:color="000000" w:sz="6" w:space="0"/>
            </w:tcBorders>
          </w:tcPr>
          <w:p>
            <w:pPr>
              <w:pStyle w:val="17"/>
              <w:rPr>
                <w:rFonts w:hint="default" w:ascii="Times New Roman" w:eastAsia="宋体"/>
                <w:sz w:val="24"/>
                <w:lang w:val="en-US" w:eastAsia="zh-CN"/>
              </w:rPr>
            </w:pPr>
            <w:r>
              <w:rPr>
                <w:rFonts w:hint="eastAsia" w:ascii="Times New Roman"/>
                <w:sz w:val="24"/>
                <w:lang w:val="en-US" w:eastAsia="zh-CN"/>
              </w:rPr>
              <w:t>412.7</w:t>
            </w:r>
          </w:p>
        </w:tc>
        <w:tc>
          <w:tcPr>
            <w:tcW w:w="2696" w:type="dxa"/>
          </w:tcPr>
          <w:p>
            <w:pPr>
              <w:pStyle w:val="17"/>
              <w:spacing w:line="307" w:lineRule="exact"/>
              <w:ind w:left="145"/>
              <w:rPr>
                <w:sz w:val="24"/>
              </w:rPr>
            </w:pPr>
            <w:r>
              <w:rPr>
                <w:sz w:val="24"/>
              </w:rPr>
              <w:t>可用于该专业的教学实</w:t>
            </w:r>
          </w:p>
          <w:p>
            <w:pPr>
              <w:pStyle w:val="17"/>
              <w:spacing w:before="4" w:line="292" w:lineRule="exact"/>
              <w:ind w:left="106" w:right="-29"/>
              <w:rPr>
                <w:sz w:val="24"/>
              </w:rPr>
            </w:pPr>
            <w:r>
              <w:rPr>
                <w:spacing w:val="-9"/>
                <w:sz w:val="24"/>
              </w:rPr>
              <w:t>验设备数量</w:t>
            </w:r>
            <w:r>
              <w:rPr>
                <w:sz w:val="24"/>
              </w:rPr>
              <w:t>（千元以上）</w:t>
            </w:r>
          </w:p>
        </w:tc>
        <w:tc>
          <w:tcPr>
            <w:tcW w:w="2093" w:type="dxa"/>
          </w:tcPr>
          <w:p>
            <w:pPr>
              <w:pStyle w:val="17"/>
              <w:rPr>
                <w:rFonts w:hint="default" w:ascii="Times New Roman" w:eastAsia="宋体"/>
                <w:sz w:val="24"/>
                <w:lang w:val="en-US" w:eastAsia="zh-CN"/>
              </w:rPr>
            </w:pPr>
            <w:r>
              <w:rPr>
                <w:rFonts w:hint="eastAsia" w:ascii="Times New Roman"/>
                <w:sz w:val="24"/>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660" w:type="dxa"/>
            <w:tcBorders>
              <w:right w:val="single" w:color="000000" w:sz="6" w:space="0"/>
            </w:tcBorders>
          </w:tcPr>
          <w:p>
            <w:pPr>
              <w:pStyle w:val="17"/>
              <w:spacing w:before="79"/>
              <w:ind w:left="489"/>
              <w:rPr>
                <w:sz w:val="24"/>
              </w:rPr>
            </w:pPr>
            <w:r>
              <w:rPr>
                <w:sz w:val="24"/>
              </w:rPr>
              <w:t>开办经费及来源</w:t>
            </w:r>
          </w:p>
        </w:tc>
        <w:tc>
          <w:tcPr>
            <w:tcW w:w="6914" w:type="dxa"/>
            <w:gridSpan w:val="3"/>
            <w:tcBorders>
              <w:left w:val="single" w:color="000000" w:sz="6" w:space="0"/>
            </w:tcBorders>
          </w:tcPr>
          <w:p>
            <w:pPr>
              <w:pStyle w:val="17"/>
              <w:rPr>
                <w:rFonts w:hint="eastAsia" w:ascii="Times New Roman" w:eastAsia="宋体"/>
                <w:sz w:val="24"/>
                <w:lang w:eastAsia="zh-CN"/>
              </w:rPr>
            </w:pPr>
            <w:r>
              <w:rPr>
                <w:rFonts w:hint="eastAsia" w:ascii="Times New Roman"/>
                <w:sz w:val="24"/>
                <w:lang w:eastAsia="zh-CN"/>
              </w:rPr>
              <w:t>国家拨款、企业捐赠等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7"/>
              <w:spacing w:line="307" w:lineRule="exact"/>
              <w:ind w:left="109" w:right="98"/>
              <w:jc w:val="center"/>
              <w:rPr>
                <w:sz w:val="24"/>
              </w:rPr>
            </w:pPr>
            <w:r>
              <w:rPr>
                <w:sz w:val="24"/>
              </w:rPr>
              <w:t>生均年教学日常支出</w:t>
            </w:r>
          </w:p>
          <w:p>
            <w:pPr>
              <w:pStyle w:val="17"/>
              <w:spacing w:before="4" w:line="292" w:lineRule="exact"/>
              <w:ind w:left="109" w:right="98"/>
              <w:jc w:val="center"/>
              <w:rPr>
                <w:sz w:val="24"/>
              </w:rPr>
            </w:pPr>
            <w:r>
              <w:rPr>
                <w:sz w:val="24"/>
              </w:rPr>
              <w:t>（元）</w:t>
            </w:r>
          </w:p>
        </w:tc>
        <w:tc>
          <w:tcPr>
            <w:tcW w:w="6914" w:type="dxa"/>
            <w:gridSpan w:val="3"/>
            <w:tcBorders>
              <w:left w:val="single" w:color="000000" w:sz="6" w:space="0"/>
            </w:tcBorders>
          </w:tcPr>
          <w:p>
            <w:pPr>
              <w:pStyle w:val="17"/>
              <w:rPr>
                <w:rFonts w:hint="default" w:ascii="Times New Roman" w:eastAsia="宋体"/>
                <w:sz w:val="24"/>
                <w:lang w:val="en-US" w:eastAsia="zh-CN"/>
              </w:rPr>
            </w:pPr>
            <w:r>
              <w:rPr>
                <w:rFonts w:hint="eastAsia" w:ascii="Times New Roman"/>
                <w:sz w:val="24"/>
                <w:lang w:val="en-US" w:eastAsia="zh-CN"/>
              </w:rPr>
              <w:t>5600元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7"/>
              <w:spacing w:line="307" w:lineRule="exact"/>
              <w:ind w:left="109" w:right="98"/>
              <w:jc w:val="center"/>
              <w:rPr>
                <w:sz w:val="24"/>
              </w:rPr>
            </w:pPr>
            <w:r>
              <w:rPr>
                <w:sz w:val="24"/>
              </w:rPr>
              <w:t>实践教学基地（个）</w:t>
            </w:r>
          </w:p>
          <w:p>
            <w:pPr>
              <w:pStyle w:val="17"/>
              <w:spacing w:before="4" w:line="292" w:lineRule="exact"/>
              <w:ind w:left="109" w:right="98"/>
              <w:jc w:val="center"/>
              <w:rPr>
                <w:sz w:val="24"/>
              </w:rPr>
            </w:pPr>
            <w:r>
              <w:rPr>
                <w:spacing w:val="-1"/>
                <w:sz w:val="24"/>
              </w:rPr>
              <w:t>（</w:t>
            </w:r>
            <w:r>
              <w:rPr>
                <w:sz w:val="24"/>
              </w:rPr>
              <w:t>请上传合作协议等）</w:t>
            </w:r>
          </w:p>
        </w:tc>
        <w:tc>
          <w:tcPr>
            <w:tcW w:w="6914" w:type="dxa"/>
            <w:gridSpan w:val="3"/>
            <w:tcBorders>
              <w:left w:val="single" w:color="000000" w:sz="6" w:space="0"/>
            </w:tcBorders>
          </w:tcPr>
          <w:p>
            <w:pPr>
              <w:pStyle w:val="17"/>
              <w:rPr>
                <w:rFonts w:hint="eastAsia" w:ascii="Times New Roman" w:eastAsia="宋体"/>
                <w:sz w:val="24"/>
                <w:lang w:val="en-US" w:eastAsia="zh-CN"/>
              </w:rPr>
            </w:pPr>
            <w:r>
              <w:rPr>
                <w:rFonts w:hint="eastAsia" w:ascii="Times New Roman"/>
                <w:sz w:val="24"/>
                <w:lang w:val="en-US" w:eastAsia="zh-CN"/>
              </w:rPr>
              <w:t>成都世纪城洲际酒店、成都锦江宾馆、北京盘古酒店、北京JW万豪酒店等星级酒店和成都空港大酒店等7个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660" w:type="dxa"/>
            <w:tcBorders>
              <w:right w:val="single" w:color="000000" w:sz="6" w:space="0"/>
            </w:tcBorders>
          </w:tcPr>
          <w:p>
            <w:pPr>
              <w:pStyle w:val="17"/>
              <w:spacing w:line="307" w:lineRule="exact"/>
              <w:ind w:left="109" w:right="98"/>
              <w:jc w:val="center"/>
              <w:rPr>
                <w:sz w:val="24"/>
              </w:rPr>
            </w:pPr>
            <w:r>
              <w:rPr>
                <w:sz w:val="24"/>
              </w:rPr>
              <w:t>教学条件建设规划</w:t>
            </w:r>
          </w:p>
          <w:p>
            <w:pPr>
              <w:pStyle w:val="17"/>
              <w:spacing w:before="4" w:line="294" w:lineRule="exact"/>
              <w:ind w:left="109" w:right="98"/>
              <w:jc w:val="center"/>
              <w:rPr>
                <w:sz w:val="24"/>
              </w:rPr>
            </w:pPr>
            <w:r>
              <w:rPr>
                <w:sz w:val="24"/>
              </w:rPr>
              <w:t>及保障措施</w:t>
            </w:r>
          </w:p>
        </w:tc>
        <w:tc>
          <w:tcPr>
            <w:tcW w:w="6914" w:type="dxa"/>
            <w:gridSpan w:val="3"/>
            <w:tcBorders>
              <w:left w:val="single" w:color="000000" w:sz="6" w:space="0"/>
            </w:tcBorders>
          </w:tcPr>
          <w:p>
            <w:pPr>
              <w:pStyle w:val="17"/>
              <w:rPr>
                <w:rFonts w:hint="eastAsia" w:ascii="Times New Roman"/>
                <w:sz w:val="24"/>
                <w:lang w:val="en-US" w:eastAsia="zh-CN"/>
              </w:rPr>
            </w:pPr>
            <w:r>
              <w:rPr>
                <w:rFonts w:hint="eastAsia" w:ascii="Times New Roman"/>
                <w:sz w:val="24"/>
                <w:lang w:val="en-US" w:eastAsia="zh-CN"/>
              </w:rPr>
              <w:t>1.进一步拓展校内外教学资源。为进一步提升学生培养质量，专业的办学平台、办学资源等应进一步拓展，同时通过校地合作、校局合作等方式增加教学资源的内容和范围。</w:t>
            </w:r>
          </w:p>
          <w:p>
            <w:pPr>
              <w:pStyle w:val="17"/>
              <w:rPr>
                <w:rFonts w:hint="eastAsia" w:ascii="Times New Roman"/>
                <w:sz w:val="24"/>
                <w:lang w:val="en-US" w:eastAsia="zh-CN"/>
              </w:rPr>
            </w:pPr>
            <w:r>
              <w:rPr>
                <w:rFonts w:hint="eastAsia" w:ascii="Times New Roman"/>
                <w:sz w:val="24"/>
                <w:lang w:val="en-US" w:eastAsia="zh-CN"/>
              </w:rPr>
              <w:t>2.进一步拓展校内外实践基地。根据专业发展，进一步拓展校内外实践基地，特别是当前旅游新业态的企业，更应该成为专业新的实践基地。同时注重实践基地的质量和过程建设。</w:t>
            </w:r>
          </w:p>
          <w:p>
            <w:pPr>
              <w:pStyle w:val="17"/>
              <w:rPr>
                <w:rFonts w:hint="eastAsia" w:ascii="Times New Roman"/>
                <w:sz w:val="24"/>
                <w:lang w:val="en-US" w:eastAsia="zh-CN"/>
              </w:rPr>
            </w:pPr>
            <w:r>
              <w:rPr>
                <w:rFonts w:hint="eastAsia" w:ascii="Times New Roman"/>
                <w:sz w:val="24"/>
                <w:lang w:val="en-US" w:eastAsia="zh-CN"/>
              </w:rPr>
              <w:t>3.加强实训室建设。在现有茶艺室、咖啡调酒实训室基础上，进一步根据酒店行业产业链，增加专业实训室数量和类型，提升和完善专业的课程实验和实践条件。</w:t>
            </w:r>
          </w:p>
          <w:p>
            <w:pPr>
              <w:pStyle w:val="17"/>
              <w:rPr>
                <w:rFonts w:hint="default" w:ascii="Times New Roman"/>
                <w:sz w:val="24"/>
                <w:lang w:val="en-US" w:eastAsia="zh-CN"/>
              </w:rPr>
            </w:pPr>
            <w:r>
              <w:rPr>
                <w:rFonts w:hint="eastAsia" w:ascii="Times New Roman"/>
                <w:sz w:val="24"/>
                <w:lang w:val="en-US" w:eastAsia="zh-CN"/>
              </w:rPr>
              <w:t>4.拓展</w:t>
            </w:r>
            <w:r>
              <w:rPr>
                <w:rFonts w:hint="eastAsia" w:ascii="Times New Roman"/>
                <w:b/>
                <w:bCs/>
                <w:sz w:val="24"/>
                <w:lang w:val="en-US" w:eastAsia="zh-CN"/>
              </w:rPr>
              <w:t>管培班</w:t>
            </w:r>
            <w:r>
              <w:rPr>
                <w:rFonts w:hint="eastAsia" w:ascii="Times New Roman"/>
                <w:sz w:val="24"/>
                <w:lang w:val="en-US" w:eastAsia="zh-CN"/>
              </w:rPr>
              <w:t>的合作力度。在现有与洲际酒店和空港大酒店合作基础上，进一步拓展</w:t>
            </w:r>
            <w:r>
              <w:rPr>
                <w:rFonts w:hint="eastAsia" w:ascii="Times New Roman"/>
                <w:b/>
                <w:bCs/>
                <w:sz w:val="24"/>
                <w:lang w:val="en-US" w:eastAsia="zh-CN"/>
              </w:rPr>
              <w:t>管培班</w:t>
            </w:r>
            <w:r>
              <w:rPr>
                <w:rFonts w:hint="eastAsia" w:ascii="Times New Roman"/>
                <w:b w:val="0"/>
                <w:bCs w:val="0"/>
                <w:sz w:val="24"/>
                <w:lang w:val="en-US" w:eastAsia="zh-CN"/>
              </w:rPr>
              <w:t>的合作企业数量和合作力度。</w:t>
            </w:r>
          </w:p>
          <w:p>
            <w:pPr>
              <w:pStyle w:val="17"/>
              <w:rPr>
                <w:rFonts w:hint="default" w:ascii="Times New Roman" w:eastAsia="宋体"/>
                <w:sz w:val="24"/>
                <w:lang w:val="en-US" w:eastAsia="zh-CN"/>
              </w:rPr>
            </w:pPr>
          </w:p>
        </w:tc>
      </w:tr>
    </w:tbl>
    <w:p>
      <w:pPr>
        <w:rPr>
          <w:sz w:val="20"/>
        </w:rPr>
      </w:pPr>
    </w:p>
    <w:p>
      <w:pPr>
        <w:spacing w:before="3"/>
        <w:rPr>
          <w:sz w:val="21"/>
        </w:rPr>
      </w:pPr>
    </w:p>
    <w:p>
      <w:pPr>
        <w:spacing w:after="54" w:line="511" w:lineRule="exact"/>
        <w:ind w:left="911" w:right="1167"/>
        <w:jc w:val="center"/>
        <w:outlineLvl w:val="0"/>
        <w:rPr>
          <w:rFonts w:ascii="Microsoft JhengHei" w:eastAsia="Microsoft JhengHei"/>
          <w:b/>
          <w:sz w:val="30"/>
        </w:rPr>
      </w:pPr>
      <w:r>
        <w:rPr>
          <w:rFonts w:hint="eastAsia" w:ascii="Microsoft JhengHei" w:eastAsia="Microsoft JhengHei"/>
          <w:b/>
          <w:sz w:val="30"/>
        </w:rPr>
        <w:t>主要教学实验设备情况表</w:t>
      </w:r>
    </w:p>
    <w:p>
      <w:pPr>
        <w:rPr>
          <w:rFonts w:ascii="Times New Roman"/>
          <w:sz w:val="24"/>
        </w:rPr>
      </w:pPr>
    </w:p>
    <w:p>
      <w:pPr>
        <w:rPr>
          <w:rFonts w:hint="eastAsia" w:ascii="Times New Roman" w:eastAsia="宋体"/>
          <w:sz w:val="24"/>
          <w:lang w:val="en-US" w:eastAsia="zh-CN"/>
        </w:rPr>
      </w:pPr>
      <w:r>
        <w:rPr>
          <w:rFonts w:hint="eastAsia" w:ascii="Times New Roman"/>
          <w:sz w:val="24"/>
          <w:lang w:val="en-US" w:eastAsia="zh-CN"/>
        </w:rPr>
        <w:t>.</w:t>
      </w:r>
    </w:p>
    <w:tbl>
      <w:tblPr>
        <w:tblStyle w:val="15"/>
        <w:tblW w:w="9381"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37"/>
        <w:gridCol w:w="1592"/>
        <w:gridCol w:w="1416"/>
        <w:gridCol w:w="2170"/>
        <w:gridCol w:w="19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pStyle w:val="17"/>
              <w:spacing w:before="79"/>
              <w:ind w:left="158"/>
              <w:jc w:val="center"/>
              <w:rPr>
                <w:sz w:val="24"/>
              </w:rPr>
            </w:pPr>
            <w:r>
              <w:rPr>
                <w:sz w:val="24"/>
              </w:rPr>
              <w:t>教学实验设备名称</w:t>
            </w:r>
          </w:p>
        </w:tc>
        <w:tc>
          <w:tcPr>
            <w:tcW w:w="1592" w:type="dxa"/>
          </w:tcPr>
          <w:p>
            <w:pPr>
              <w:pStyle w:val="17"/>
              <w:spacing w:before="79"/>
              <w:ind w:left="312"/>
              <w:jc w:val="center"/>
              <w:rPr>
                <w:sz w:val="24"/>
              </w:rPr>
            </w:pPr>
            <w:r>
              <w:rPr>
                <w:sz w:val="24"/>
              </w:rPr>
              <w:t>型号规格</w:t>
            </w:r>
          </w:p>
        </w:tc>
        <w:tc>
          <w:tcPr>
            <w:tcW w:w="1416" w:type="dxa"/>
          </w:tcPr>
          <w:p>
            <w:pPr>
              <w:pStyle w:val="17"/>
              <w:spacing w:before="79"/>
              <w:ind w:right="688"/>
              <w:jc w:val="center"/>
              <w:rPr>
                <w:sz w:val="24"/>
              </w:rPr>
            </w:pPr>
            <w:r>
              <w:rPr>
                <w:sz w:val="24"/>
              </w:rPr>
              <w:t>数量</w:t>
            </w:r>
          </w:p>
        </w:tc>
        <w:tc>
          <w:tcPr>
            <w:tcW w:w="2170" w:type="dxa"/>
          </w:tcPr>
          <w:p>
            <w:pPr>
              <w:pStyle w:val="17"/>
              <w:spacing w:before="79"/>
              <w:ind w:left="474"/>
              <w:jc w:val="center"/>
              <w:rPr>
                <w:sz w:val="24"/>
              </w:rPr>
            </w:pPr>
            <w:r>
              <w:rPr>
                <w:sz w:val="24"/>
              </w:rPr>
              <w:t>购入时间</w:t>
            </w:r>
          </w:p>
        </w:tc>
        <w:tc>
          <w:tcPr>
            <w:tcW w:w="1966" w:type="dxa"/>
          </w:tcPr>
          <w:p>
            <w:pPr>
              <w:pStyle w:val="17"/>
              <w:spacing w:before="79"/>
              <w:ind w:left="114"/>
              <w:jc w:val="center"/>
              <w:rPr>
                <w:sz w:val="24"/>
              </w:rPr>
            </w:pPr>
            <w:r>
              <w:rPr>
                <w:sz w:val="24"/>
              </w:rPr>
              <w:t>设备价值（元）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磨咖啡豆机</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600-N</w:t>
            </w:r>
          </w:p>
        </w:tc>
        <w:tc>
          <w:tcPr>
            <w:tcW w:w="1416" w:type="dxa"/>
          </w:tcPr>
          <w:p>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2017-02-27</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冰箱</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BC-50</w:t>
            </w:r>
          </w:p>
        </w:tc>
        <w:tc>
          <w:tcPr>
            <w:tcW w:w="1416"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2017-01-12</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750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冰箱</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BC-50</w:t>
            </w:r>
          </w:p>
        </w:tc>
        <w:tc>
          <w:tcPr>
            <w:tcW w:w="1416"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2017-01-12</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750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吸尘器</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ZL/100-133</w:t>
            </w:r>
          </w:p>
        </w:tc>
        <w:tc>
          <w:tcPr>
            <w:tcW w:w="1416"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2018-01-12</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910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吸尘器</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ZL/100-133</w:t>
            </w:r>
          </w:p>
        </w:tc>
        <w:tc>
          <w:tcPr>
            <w:tcW w:w="1416"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2018-01-12</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910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空调（柜式）</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格力KFR-76LW/E1</w:t>
            </w:r>
          </w:p>
        </w:tc>
        <w:tc>
          <w:tcPr>
            <w:tcW w:w="1416"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2018-05-17</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4870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空调（柜式）</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格力KFR-76LW/E1</w:t>
            </w:r>
          </w:p>
        </w:tc>
        <w:tc>
          <w:tcPr>
            <w:tcW w:w="1416"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2018-05-17</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4870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空调（柜式）</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格力KFR-76LW/E1</w:t>
            </w:r>
          </w:p>
        </w:tc>
        <w:tc>
          <w:tcPr>
            <w:tcW w:w="1416"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2018-05-17</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4870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实物展示台</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晨星DV1500</w:t>
            </w:r>
          </w:p>
        </w:tc>
        <w:tc>
          <w:tcPr>
            <w:tcW w:w="1416"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2018-05-19</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4770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制冰机</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QM20A</w:t>
            </w:r>
          </w:p>
        </w:tc>
        <w:tc>
          <w:tcPr>
            <w:tcW w:w="1416"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2019-09-25</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4980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电冰箱</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BG-50</w:t>
            </w:r>
          </w:p>
        </w:tc>
        <w:tc>
          <w:tcPr>
            <w:tcW w:w="1416"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2019-12-12</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718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电冰箱</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BG-50</w:t>
            </w:r>
          </w:p>
        </w:tc>
        <w:tc>
          <w:tcPr>
            <w:tcW w:w="1416"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2019-12-12</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718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电冰箱</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BG-50</w:t>
            </w:r>
          </w:p>
        </w:tc>
        <w:tc>
          <w:tcPr>
            <w:tcW w:w="1416"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2019-12-12</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718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投影仪</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三洋PLC-XP5100C</w:t>
            </w:r>
          </w:p>
        </w:tc>
        <w:tc>
          <w:tcPr>
            <w:tcW w:w="1416"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2019-12-12</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35000</w:t>
            </w:r>
          </w:p>
        </w:tc>
      </w:tr>
      <w:tr>
        <w:tblPrEx>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意式咖啡机</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IMPRESSA</w:t>
            </w:r>
          </w:p>
        </w:tc>
        <w:tc>
          <w:tcPr>
            <w:tcW w:w="1416"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2018-01-09</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54375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投影仪</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日立 HCP-6680X</w:t>
            </w:r>
          </w:p>
        </w:tc>
        <w:tc>
          <w:tcPr>
            <w:tcW w:w="1416"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2018-07-06</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12100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微型电子计算机</w:t>
            </w:r>
          </w:p>
        </w:tc>
        <w:tc>
          <w:tcPr>
            <w:tcW w:w="1592"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联想M710E</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52</w:t>
            </w:r>
          </w:p>
        </w:tc>
        <w:tc>
          <w:tcPr>
            <w:tcW w:w="2170"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-09-16</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189800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WACOM数位板</w:t>
            </w:r>
          </w:p>
        </w:tc>
        <w:tc>
          <w:tcPr>
            <w:tcW w:w="1592"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影拓四代LPTK840</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tc>
        <w:tc>
          <w:tcPr>
            <w:tcW w:w="2170"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-10-12</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空调</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格力大3P柜机</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2017-12-07</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8050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工作站</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Dell Precision T3500</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2018-01-04</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14700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投影机（BENQ MP777专业）</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明基MP777</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tc>
        <w:tc>
          <w:tcPr>
            <w:tcW w:w="2170"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-03-16</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18000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专业图形工作站</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中视典定制</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2170"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-03-16</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专业投影机</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爱普生EB-C1925W</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tc>
        <w:tc>
          <w:tcPr>
            <w:tcW w:w="2170"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-05-11</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54000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数码相机</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Nikon D3x</w:t>
            </w:r>
          </w:p>
        </w:tc>
        <w:tc>
          <w:tcPr>
            <w:tcW w:w="14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2018-05-18</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74499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数码相机</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SONY DSC-HX200</w:t>
            </w:r>
          </w:p>
        </w:tc>
        <w:tc>
          <w:tcPr>
            <w:tcW w:w="14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20</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2017-06-18</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67600</w:t>
            </w:r>
          </w:p>
        </w:tc>
      </w:tr>
      <w:tr>
        <w:tblPrEx>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数位板</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大师三代0604汉王</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w:t>
            </w:r>
          </w:p>
        </w:tc>
        <w:tc>
          <w:tcPr>
            <w:tcW w:w="2170"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-06-29</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32000</w:t>
            </w:r>
          </w:p>
          <w:p>
            <w:pPr>
              <w:pStyle w:val="17"/>
              <w:jc w:val="center"/>
              <w:rPr>
                <w:rFonts w:hint="eastAsia" w:asciiTheme="minorEastAsia" w:hAnsiTheme="minorEastAsia" w:eastAsiaTheme="minorEastAsia" w:cstheme="minorEastAsia"/>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弧形专业投影硬幕</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宝视英吉尔</w:t>
            </w:r>
          </w:p>
        </w:tc>
        <w:tc>
          <w:tcPr>
            <w:tcW w:w="14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2170"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-06-29</w:t>
            </w:r>
          </w:p>
        </w:tc>
        <w:tc>
          <w:tcPr>
            <w:tcW w:w="1966"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80000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投影仪</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EPSON EB-C1925W</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tc>
        <w:tc>
          <w:tcPr>
            <w:tcW w:w="2170"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-06-29</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视频矩阵</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MAX8*8 创凯</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2170"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-06-29</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台式电脑</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Dell OptiPlex 390MT</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73</w:t>
            </w:r>
          </w:p>
        </w:tc>
        <w:tc>
          <w:tcPr>
            <w:tcW w:w="2170"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-09-06</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333610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专业工程投影机</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Epson  C520XE</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w:t>
            </w:r>
          </w:p>
        </w:tc>
        <w:tc>
          <w:tcPr>
            <w:tcW w:w="2170"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-11-21</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150000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头盔显示器（26度）</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5DT MHD 800-26</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tc>
        <w:tc>
          <w:tcPr>
            <w:tcW w:w="2170"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-11-21</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87000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数据手套</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5DT DATA GLOVE5ULTRA</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w:t>
            </w:r>
          </w:p>
        </w:tc>
        <w:tc>
          <w:tcPr>
            <w:tcW w:w="2170"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-11-21</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数位板</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WACOM PTH-650</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25</w:t>
            </w:r>
          </w:p>
        </w:tc>
        <w:tc>
          <w:tcPr>
            <w:tcW w:w="2170"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-11-21</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150000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专业级摄像机</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Sony HDR-FX1000E</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w:t>
            </w:r>
          </w:p>
        </w:tc>
        <w:tc>
          <w:tcPr>
            <w:tcW w:w="2170"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-11-21</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208000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专业级摄象机脚架</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伟峰FC-270A</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w:t>
            </w:r>
          </w:p>
        </w:tc>
        <w:tc>
          <w:tcPr>
            <w:tcW w:w="2170"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-11-21</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摄像机三脚架、摇臂套装</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鑫达三角炮</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2170"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-11-21</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演播室录像机</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JVC BR-HD5OEC</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2170" w:type="dxa"/>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-11-21</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35000</w:t>
            </w:r>
          </w:p>
        </w:tc>
      </w:tr>
      <w:tr>
        <w:tblPrEx>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空调（格力）</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KFR-120LW/E(A1-N2）</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tc>
        <w:tc>
          <w:tcPr>
            <w:tcW w:w="2170"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-11-28</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23970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投影仪</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索尼VPL-EX273</w:t>
            </w:r>
          </w:p>
        </w:tc>
        <w:tc>
          <w:tcPr>
            <w:tcW w:w="14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w:t>
            </w:r>
          </w:p>
        </w:tc>
        <w:tc>
          <w:tcPr>
            <w:tcW w:w="2170" w:type="dxa"/>
          </w:tcPr>
          <w:p>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-10-22</w:t>
            </w:r>
          </w:p>
        </w:tc>
        <w:tc>
          <w:tcPr>
            <w:tcW w:w="196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18900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LED电视</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TCL LE32D99</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2018-12-17</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电冰箱</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BCD-241WCDV</w:t>
            </w:r>
          </w:p>
        </w:tc>
        <w:tc>
          <w:tcPr>
            <w:tcW w:w="1416" w:type="dxa"/>
          </w:tcPr>
          <w:p>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217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2018-05-04</w:t>
            </w:r>
          </w:p>
        </w:tc>
        <w:tc>
          <w:tcPr>
            <w:tcW w:w="196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olor w:val="000000"/>
                <w:kern w:val="0"/>
                <w:sz w:val="24"/>
                <w:szCs w:val="24"/>
                <w:u w:val="none"/>
                <w:lang w:val="en-US" w:eastAsia="zh-CN" w:bidi="ar"/>
              </w:rPr>
              <w:t>2900</w:t>
            </w:r>
          </w:p>
        </w:tc>
      </w:tr>
    </w:tbl>
    <w:p>
      <w:pPr>
        <w:rPr>
          <w:rFonts w:hint="eastAsia" w:ascii="Times New Roman" w:eastAsia="宋体"/>
          <w:sz w:val="24"/>
          <w:lang w:val="en-US" w:eastAsia="zh-CN"/>
        </w:rPr>
        <w:sectPr>
          <w:headerReference r:id="rId6" w:type="default"/>
          <w:pgSz w:w="11910" w:h="16840"/>
          <w:pgMar w:top="1760" w:right="660" w:bottom="280" w:left="1200" w:header="1409" w:footer="0" w:gutter="0"/>
          <w:cols w:space="720" w:num="1"/>
        </w:sectPr>
      </w:pPr>
    </w:p>
    <w:p>
      <w:pPr>
        <w:pStyle w:val="7"/>
        <w:spacing w:before="7"/>
        <w:rPr>
          <w:rFonts w:ascii="Microsoft JhengHei"/>
          <w:b/>
          <w:sz w:val="25"/>
        </w:rPr>
      </w:pPr>
      <w:r>
        <w:pict>
          <v:group id="_x0000_s1042" o:spid="_x0000_s1042" o:spt="203" style="position:absolute;left:0pt;margin-left:65.3pt;margin-top:20.8pt;height:700.85pt;width:479.15pt;mso-position-horizontal-relative:page;z-index:-253510656;mso-width-relative:page;mso-height-relative:page;" coordorigin="1306,-23" coordsize="9583,12540">
            <o:lock v:ext="edit" aspectratio="f"/>
            <v:rect id="_x0000_s1048" o:spid="_x0000_s1048" o:spt="1" style="position:absolute;left:1306;top:-23;height:10;width:10;" fillcolor="#000000" filled="t" stroked="f" coordsize="21600,21600">
              <v:path/>
              <v:fill on="t" color2="#FFFFFF" focussize="0,0"/>
              <v:stroke on="f"/>
              <v:imagedata o:title=""/>
              <o:lock v:ext="edit" aspectratio="f"/>
            </v:rect>
            <v:line id="_x0000_s1047" o:spid="_x0000_s1047" o:spt="20" style="position:absolute;left:1316;top:-18;height:0;width:9563;" filled="f" stroked="t" coordsize="21600,21600">
              <v:path arrowok="t"/>
              <v:fill on="f" focussize="0,0"/>
              <v:stroke weight="0.48pt" color="#000000"/>
              <v:imagedata o:title=""/>
              <o:lock v:ext="edit" aspectratio="f"/>
            </v:line>
            <v:rect id="_x0000_s1046" o:spid="_x0000_s1046" o:spt="1" style="position:absolute;left:10879;top:-23;height:10;width:10;" fillcolor="#000000" filled="t" stroked="f" coordsize="21600,21600">
              <v:path/>
              <v:fill on="t" color2="#FFFFFF" focussize="0,0"/>
              <v:stroke on="f"/>
              <v:imagedata o:title=""/>
              <o:lock v:ext="edit" aspectratio="f"/>
            </v:rect>
            <v:line id="_x0000_s1045" o:spid="_x0000_s1045" o:spt="20" style="position:absolute;left:1311;top:-13;height:12529;width:0;" filled="f" stroked="t" coordsize="21600,21600">
              <v:path arrowok="t"/>
              <v:fill on="f" focussize="0,0"/>
              <v:stroke weight="0.48pt" color="#000000"/>
              <v:imagedata o:title=""/>
              <o:lock v:ext="edit" aspectratio="f"/>
            </v:line>
            <v:line id="_x0000_s1044" o:spid="_x0000_s1044" o:spt="20" style="position:absolute;left:1316;top:12512;height:0;width:9563;" filled="f" stroked="t" coordsize="21600,21600">
              <v:path arrowok="t"/>
              <v:fill on="f" focussize="0,0"/>
              <v:stroke weight="0.48007874015748pt" color="#000000"/>
              <v:imagedata o:title=""/>
              <o:lock v:ext="edit" aspectratio="f"/>
            </v:line>
            <v:line id="_x0000_s1043" o:spid="_x0000_s1043" o:spt="20" style="position:absolute;left:10884;top:-13;height:12529;width:0;" filled="f" stroked="t" coordsize="21600,21600">
              <v:path arrowok="t"/>
              <v:fill on="f" focussize="0,0"/>
              <v:stroke weight="0.48pt" color="#000000"/>
              <v:imagedata o:title=""/>
              <o:lock v:ext="edit" aspectratio="f"/>
            </v:line>
          </v:group>
        </w:pict>
      </w:r>
    </w:p>
    <w:p>
      <w:pPr>
        <w:spacing w:before="66" w:line="364" w:lineRule="auto"/>
        <w:ind w:left="218" w:right="469"/>
        <w:rPr>
          <w:sz w:val="24"/>
        </w:rPr>
      </w:pPr>
      <w:r>
        <w:rPr>
          <w:sz w:val="24"/>
        </w:rPr>
        <w:t>（</w:t>
      </w:r>
      <w:r>
        <w:rPr>
          <w:spacing w:val="-1"/>
          <w:sz w:val="24"/>
        </w:rPr>
        <w:t>应包括申请增设专业的主要理由、支撑该专业发展的学科基础、学校专业发展规划等方</w:t>
      </w:r>
      <w:r>
        <w:rPr>
          <w:sz w:val="24"/>
        </w:rPr>
        <w:t>面的内容</w:t>
      </w:r>
      <w:r>
        <w:rPr>
          <w:spacing w:val="-120"/>
          <w:sz w:val="24"/>
        </w:rPr>
        <w:t>）</w:t>
      </w:r>
      <w:r>
        <w:rPr>
          <w:sz w:val="24"/>
        </w:rPr>
        <w:t>（如需要可加页）</w:t>
      </w:r>
    </w:p>
    <w:p>
      <w:pPr>
        <w:pStyle w:val="17"/>
        <w:spacing w:line="312" w:lineRule="auto"/>
        <w:ind w:left="170" w:right="397" w:firstLine="482" w:firstLineChars="200"/>
        <w:rPr>
          <w:b/>
          <w:sz w:val="24"/>
        </w:rPr>
      </w:pPr>
      <w:r>
        <w:rPr>
          <w:rFonts w:hint="eastAsia"/>
          <w:b/>
          <w:sz w:val="24"/>
        </w:rPr>
        <w:t>（1）增设酒店管理本科专业符合酒店行业</w:t>
      </w:r>
      <w:r>
        <w:rPr>
          <w:b/>
          <w:sz w:val="24"/>
        </w:rPr>
        <w:t>高质量发展</w:t>
      </w:r>
      <w:r>
        <w:rPr>
          <w:rFonts w:hint="eastAsia"/>
          <w:b/>
          <w:sz w:val="24"/>
        </w:rPr>
        <w:t>需求及趋势</w:t>
      </w:r>
    </w:p>
    <w:p>
      <w:pPr>
        <w:spacing w:before="66" w:line="312" w:lineRule="auto"/>
        <w:ind w:left="215" w:right="471" w:firstLine="480" w:firstLineChars="200"/>
        <w:jc w:val="both"/>
        <w:rPr>
          <w:sz w:val="24"/>
        </w:rPr>
      </w:pPr>
      <w:r>
        <w:rPr>
          <w:sz w:val="24"/>
        </w:rPr>
        <w:t>行业高质量发展是当今新时代的主题</w:t>
      </w:r>
      <w:r>
        <w:rPr>
          <w:rFonts w:hint="eastAsia"/>
          <w:sz w:val="24"/>
        </w:rPr>
        <w:t>，</w:t>
      </w:r>
      <w:r>
        <w:rPr>
          <w:sz w:val="24"/>
        </w:rPr>
        <w:t>全国</w:t>
      </w:r>
      <w:r>
        <w:rPr>
          <w:rFonts w:hint="eastAsia"/>
          <w:sz w:val="24"/>
        </w:rPr>
        <w:t>酒店</w:t>
      </w:r>
      <w:r>
        <w:rPr>
          <w:sz w:val="24"/>
        </w:rPr>
        <w:t>行业将进入高质量发展新阶段</w:t>
      </w:r>
      <w:r>
        <w:rPr>
          <w:rFonts w:hint="eastAsia"/>
          <w:sz w:val="24"/>
        </w:rPr>
        <w:t>。</w:t>
      </w:r>
      <w:r>
        <w:rPr>
          <w:sz w:val="24"/>
        </w:rPr>
        <w:t>专业人才的需求对</w:t>
      </w:r>
      <w:r>
        <w:rPr>
          <w:rFonts w:hint="eastAsia"/>
          <w:sz w:val="24"/>
        </w:rPr>
        <w:t>酒店</w:t>
      </w:r>
      <w:r>
        <w:rPr>
          <w:sz w:val="24"/>
        </w:rPr>
        <w:t>行业转型</w:t>
      </w:r>
      <w:r>
        <w:rPr>
          <w:rFonts w:hint="eastAsia"/>
          <w:sz w:val="24"/>
        </w:rPr>
        <w:t>与</w:t>
      </w:r>
      <w:r>
        <w:rPr>
          <w:sz w:val="24"/>
        </w:rPr>
        <w:t>高质量发展起到关键的作用</w:t>
      </w:r>
      <w:r>
        <w:rPr>
          <w:rFonts w:hint="eastAsia"/>
          <w:sz w:val="24"/>
        </w:rPr>
        <w:t>，酒店行业对人才的需求将进一步扩大</w:t>
      </w:r>
      <w:r>
        <w:rPr>
          <w:sz w:val="24"/>
        </w:rPr>
        <w:t>。</w:t>
      </w:r>
      <w:r>
        <w:rPr>
          <w:rFonts w:hint="eastAsia"/>
          <w:sz w:val="24"/>
        </w:rPr>
        <w:t>然而，酒店行业人才匮乏，专业人才较少，严重束缚了酒店行业的快速发展。截至2017年底，全国星级酒店规模已超过上万家，大专及以上学历的从业人员数仅为25万，其中五星级酒店的从业人数有8.43万，四星级酒店的从业人数有9.41万。同时，酒店行业人才流失严重，2017年大专及以上学历的从业者人数下降4.41%，其中二星级下降14.65%，一星级下降22.22%。因此，有必要增设酒店管理本科专业，为酒店行业</w:t>
      </w:r>
      <w:r>
        <w:rPr>
          <w:sz w:val="24"/>
        </w:rPr>
        <w:t>高质量发展</w:t>
      </w:r>
      <w:r>
        <w:rPr>
          <w:rFonts w:hint="eastAsia"/>
          <w:sz w:val="24"/>
        </w:rPr>
        <w:t>提供人才保障。增设酒店管理本科专业符合酒店行业的高质量发展趋势，对酒店行业转型与提质增效具有重要意义。</w:t>
      </w:r>
      <w:bookmarkStart w:id="0" w:name="_GoBack"/>
      <w:bookmarkEnd w:id="0"/>
    </w:p>
    <w:p>
      <w:pPr>
        <w:pStyle w:val="17"/>
        <w:spacing w:line="312" w:lineRule="auto"/>
        <w:ind w:left="170" w:right="397" w:firstLine="482" w:firstLineChars="200"/>
        <w:rPr>
          <w:rFonts w:hint="eastAsia" w:eastAsia="宋体"/>
          <w:b/>
          <w:sz w:val="24"/>
          <w:lang w:eastAsia="zh-CN"/>
        </w:rPr>
      </w:pPr>
      <w:r>
        <w:rPr>
          <w:rFonts w:hint="eastAsia"/>
          <w:b/>
          <w:sz w:val="24"/>
        </w:rPr>
        <w:t>（2）</w:t>
      </w:r>
      <w:r>
        <w:rPr>
          <w:rFonts w:hint="eastAsia"/>
          <w:b/>
          <w:sz w:val="24"/>
          <w:lang w:eastAsia="zh-CN"/>
        </w:rPr>
        <w:t>具备</w:t>
      </w:r>
      <w:r>
        <w:rPr>
          <w:rFonts w:hint="eastAsia"/>
          <w:b/>
          <w:sz w:val="24"/>
        </w:rPr>
        <w:t>增设酒店管理专业</w:t>
      </w:r>
      <w:r>
        <w:rPr>
          <w:rFonts w:hint="eastAsia"/>
          <w:b/>
          <w:sz w:val="24"/>
          <w:lang w:eastAsia="zh-CN"/>
        </w:rPr>
        <w:t>的基础和条件（</w:t>
      </w:r>
      <w:r>
        <w:rPr>
          <w:rFonts w:hint="eastAsia"/>
          <w:b/>
          <w:sz w:val="24"/>
          <w:lang w:val="en-US" w:eastAsia="zh-CN"/>
        </w:rPr>
        <w:t>国家一流专业、大运会所在地、</w:t>
      </w:r>
      <w:r>
        <w:rPr>
          <w:rFonts w:hint="eastAsia"/>
          <w:b/>
          <w:sz w:val="24"/>
          <w:lang w:eastAsia="zh-CN"/>
        </w:rPr>
        <w:t>管培班）</w:t>
      </w:r>
    </w:p>
    <w:p>
      <w:pPr>
        <w:spacing w:before="66" w:line="312" w:lineRule="auto"/>
        <w:ind w:left="215" w:right="471" w:firstLine="480" w:firstLineChars="200"/>
        <w:jc w:val="both"/>
        <w:rPr>
          <w:sz w:val="24"/>
        </w:rPr>
      </w:pPr>
      <w:r>
        <w:rPr>
          <w:rFonts w:hint="eastAsia"/>
          <w:sz w:val="24"/>
        </w:rPr>
        <w:t>2018年9月，成都</w:t>
      </w:r>
      <w:r>
        <w:rPr>
          <w:rFonts w:hint="eastAsia"/>
          <w:sz w:val="24"/>
          <w:lang w:eastAsia="zh-CN"/>
        </w:rPr>
        <w:t>提出</w:t>
      </w:r>
      <w:r>
        <w:rPr>
          <w:sz w:val="24"/>
        </w:rPr>
        <w:t>打造世界文创、旅游、赛事名城，国际美食、音乐、会展之都的“三城三都”城市品牌形象，努力把成都建设成为独具人文魅力的世界文化名城</w:t>
      </w:r>
      <w:r>
        <w:rPr>
          <w:rFonts w:hint="eastAsia"/>
          <w:sz w:val="24"/>
        </w:rPr>
        <w:t>。随着</w:t>
      </w:r>
      <w:r>
        <w:rPr>
          <w:sz w:val="24"/>
        </w:rPr>
        <w:t>“三城三都”</w:t>
      </w:r>
      <w:r>
        <w:rPr>
          <w:rFonts w:hint="eastAsia"/>
          <w:sz w:val="24"/>
        </w:rPr>
        <w:t>建设的全面推进</w:t>
      </w:r>
      <w:r>
        <w:rPr>
          <w:sz w:val="24"/>
        </w:rPr>
        <w:t>，</w:t>
      </w:r>
      <w:r>
        <w:rPr>
          <w:rFonts w:hint="eastAsia"/>
          <w:sz w:val="24"/>
        </w:rPr>
        <w:t>2021第31届世界大学生夏季运动会、</w:t>
      </w:r>
      <w:r>
        <w:rPr>
          <w:sz w:val="24"/>
        </w:rPr>
        <w:t>2025年世界运动会</w:t>
      </w:r>
      <w:r>
        <w:rPr>
          <w:rFonts w:hint="eastAsia"/>
          <w:sz w:val="24"/>
        </w:rPr>
        <w:t>等世界级体育赛事先后落户成都，成都</w:t>
      </w:r>
      <w:r>
        <w:rPr>
          <w:sz w:val="24"/>
        </w:rPr>
        <w:t>对酒店</w:t>
      </w:r>
      <w:r>
        <w:rPr>
          <w:rFonts w:hint="eastAsia"/>
          <w:sz w:val="24"/>
        </w:rPr>
        <w:t>行业及</w:t>
      </w:r>
      <w:r>
        <w:rPr>
          <w:sz w:val="24"/>
        </w:rPr>
        <w:t>管理专才的需求也日益增大。</w:t>
      </w:r>
      <w:r>
        <w:rPr>
          <w:rFonts w:hint="eastAsia"/>
          <w:b/>
          <w:bCs/>
          <w:sz w:val="24"/>
          <w:lang w:eastAsia="zh-CN"/>
        </w:rPr>
        <w:t>成都大学更是大运会运动员村的所在地</w:t>
      </w:r>
      <w:r>
        <w:rPr>
          <w:rFonts w:hint="eastAsia"/>
          <w:sz w:val="24"/>
          <w:lang w:eastAsia="zh-CN"/>
        </w:rPr>
        <w:t>，更加具备优越的办学优势和条件，酒店</w:t>
      </w:r>
      <w:r>
        <w:rPr>
          <w:rFonts w:hint="eastAsia"/>
          <w:sz w:val="24"/>
        </w:rPr>
        <w:t>行业内的高级专业人才形成了供不应求的局势</w:t>
      </w:r>
      <w:r>
        <w:rPr>
          <w:rFonts w:hint="eastAsia"/>
          <w:sz w:val="24"/>
          <w:lang w:eastAsia="zh-CN"/>
        </w:rPr>
        <w:t>；同时成都大学旅游与文化产业学院具备一大批旅游管理、酒店管理、企业管理等相关专业的高素质教师，其中博士和教授占到了</w:t>
      </w:r>
      <w:r>
        <w:rPr>
          <w:rFonts w:hint="eastAsia"/>
          <w:sz w:val="24"/>
          <w:lang w:val="en-US" w:eastAsia="zh-CN"/>
        </w:rPr>
        <w:t>50%以上，具备开设酒店管理专业的教学基础条件;学院的旅游管理专业在2019年被教育部评为</w:t>
      </w:r>
      <w:r>
        <w:rPr>
          <w:rFonts w:hint="eastAsia"/>
          <w:b/>
          <w:bCs/>
          <w:sz w:val="24"/>
          <w:lang w:val="en-US" w:eastAsia="zh-CN"/>
        </w:rPr>
        <w:t>成都大学唯一一个“国家一流专业”。</w:t>
      </w:r>
      <w:r>
        <w:rPr>
          <w:rFonts w:hint="eastAsia"/>
          <w:sz w:val="24"/>
          <w:lang w:val="en-US" w:eastAsia="zh-CN"/>
        </w:rPr>
        <w:t>同时，通过原有旅游管理专业，已经与</w:t>
      </w:r>
      <w:r>
        <w:rPr>
          <w:rFonts w:hint="eastAsia"/>
          <w:b/>
          <w:bCs/>
          <w:sz w:val="24"/>
        </w:rPr>
        <w:t>成都世纪城洲际酒店、成都锦江宾馆、北京盘古酒店</w:t>
      </w:r>
      <w:r>
        <w:rPr>
          <w:rFonts w:hint="eastAsia"/>
          <w:b/>
          <w:bCs/>
          <w:sz w:val="24"/>
          <w:lang w:eastAsia="zh-CN"/>
        </w:rPr>
        <w:t>、</w:t>
      </w:r>
      <w:r>
        <w:rPr>
          <w:rFonts w:hint="eastAsia"/>
          <w:b/>
          <w:bCs/>
          <w:sz w:val="24"/>
        </w:rPr>
        <w:t>北京JW万豪酒店等星级酒店</w:t>
      </w:r>
      <w:r>
        <w:rPr>
          <w:rFonts w:hint="eastAsia"/>
          <w:b/>
          <w:bCs/>
          <w:sz w:val="24"/>
          <w:lang w:eastAsia="zh-CN"/>
        </w:rPr>
        <w:t>和成都空港大酒店</w:t>
      </w:r>
      <w:r>
        <w:rPr>
          <w:rFonts w:hint="eastAsia"/>
          <w:b w:val="0"/>
          <w:bCs w:val="0"/>
          <w:sz w:val="24"/>
          <w:lang w:eastAsia="zh-CN"/>
        </w:rPr>
        <w:t>形成了良好的校企合作关系，并与近期与</w:t>
      </w:r>
      <w:r>
        <w:rPr>
          <w:rFonts w:hint="eastAsia"/>
          <w:b w:val="0"/>
          <w:bCs w:val="0"/>
          <w:sz w:val="24"/>
        </w:rPr>
        <w:t>成都世纪城洲际酒店</w:t>
      </w:r>
      <w:r>
        <w:rPr>
          <w:rFonts w:hint="eastAsia"/>
          <w:b w:val="0"/>
          <w:bCs w:val="0"/>
          <w:sz w:val="24"/>
          <w:lang w:eastAsia="zh-CN"/>
        </w:rPr>
        <w:t>和都空港大酒店达成了开办</w:t>
      </w:r>
      <w:r>
        <w:rPr>
          <w:rFonts w:hint="eastAsia"/>
          <w:b/>
          <w:bCs/>
          <w:sz w:val="24"/>
          <w:lang w:eastAsia="zh-CN"/>
        </w:rPr>
        <w:t>管培班</w:t>
      </w:r>
      <w:r>
        <w:rPr>
          <w:rFonts w:hint="eastAsia"/>
          <w:b w:val="0"/>
          <w:bCs w:val="0"/>
          <w:sz w:val="24"/>
          <w:lang w:eastAsia="zh-CN"/>
        </w:rPr>
        <w:t>的合作协议，新的酒店管理专业将依托</w:t>
      </w:r>
      <w:r>
        <w:rPr>
          <w:rFonts w:hint="eastAsia"/>
          <w:b/>
          <w:bCs/>
          <w:sz w:val="24"/>
          <w:lang w:eastAsia="zh-CN"/>
        </w:rPr>
        <w:t>管培班进行办学，充分引入企业和行业专家参与人才培养；学院还拥有一批酒店管理专业相关的实训室和设备，如茶艺室、咖啡酒吧实训室等</w:t>
      </w:r>
      <w:r>
        <w:rPr>
          <w:rFonts w:hint="eastAsia"/>
          <w:b w:val="0"/>
          <w:bCs w:val="0"/>
          <w:sz w:val="24"/>
        </w:rPr>
        <w:t>。</w:t>
      </w:r>
    </w:p>
    <w:p>
      <w:pPr>
        <w:pStyle w:val="17"/>
        <w:spacing w:line="312" w:lineRule="auto"/>
        <w:ind w:left="170" w:right="397" w:firstLine="482" w:firstLineChars="200"/>
        <w:rPr>
          <w:b/>
          <w:sz w:val="24"/>
        </w:rPr>
      </w:pPr>
      <w:r>
        <w:rPr>
          <w:rFonts w:hint="eastAsia"/>
          <w:b/>
          <w:sz w:val="24"/>
        </w:rPr>
        <w:t>（3）增设酒店管理本科专业符合学校办学定位，有利于形成合理的专业布局</w:t>
      </w:r>
    </w:p>
    <w:p>
      <w:pPr>
        <w:spacing w:before="66" w:line="312" w:lineRule="auto"/>
        <w:ind w:left="215" w:right="471" w:firstLine="480" w:firstLineChars="200"/>
        <w:rPr>
          <w:sz w:val="24"/>
        </w:rPr>
      </w:pPr>
      <w:r>
        <w:rPr>
          <w:rFonts w:hint="eastAsia"/>
          <w:sz w:val="24"/>
        </w:rPr>
        <w:t>成都大学是四川省和成都市共建的综合性大学，着力“校城融合、开放协同、区域应用”的人才培养特色。成都大学旅游与文化产业学院已有专业基础为增设酒店管理本科专业</w:t>
      </w:r>
      <w:r>
        <w:rPr>
          <w:rFonts w:hint="eastAsia"/>
          <w:spacing w:val="-1"/>
          <w:sz w:val="24"/>
        </w:rPr>
        <w:t>提供了强有力的</w:t>
      </w:r>
      <w:r>
        <w:rPr>
          <w:spacing w:val="-1"/>
          <w:sz w:val="24"/>
        </w:rPr>
        <w:t>学科</w:t>
      </w:r>
      <w:r>
        <w:rPr>
          <w:rFonts w:hint="eastAsia"/>
          <w:spacing w:val="-1"/>
          <w:sz w:val="24"/>
        </w:rPr>
        <w:t>支撑</w:t>
      </w:r>
      <w:r>
        <w:rPr>
          <w:rFonts w:hint="eastAsia"/>
          <w:sz w:val="24"/>
        </w:rPr>
        <w:t>，符合旅游管理类专业布局、符合专业发展规划。此外，2021年第31届世界大学生夏季运动会运动员村将位于成都大学，增设的酒店管理本科专业学生可为运动员村的管理提供服务，向来自全世界不同国家的人们展示大学生的青春风采。因此，在原有本科专业的基础上，申请增设酒店管理本科专业符合专业布局与学校发展要求。</w:t>
      </w:r>
    </w:p>
    <w:p>
      <w:pPr>
        <w:rPr>
          <w:sz w:val="24"/>
        </w:rPr>
        <w:sectPr>
          <w:headerReference r:id="rId7" w:type="default"/>
          <w:pgSz w:w="11910" w:h="16840"/>
          <w:pgMar w:top="1760" w:right="660" w:bottom="280" w:left="1200" w:header="1409" w:footer="0" w:gutter="0"/>
          <w:cols w:space="720" w:num="1"/>
        </w:sectPr>
      </w:pPr>
    </w:p>
    <w:p>
      <w:pPr>
        <w:spacing w:before="3"/>
        <w:rPr>
          <w:sz w:val="24"/>
        </w:rPr>
      </w:pPr>
    </w:p>
    <w:p>
      <w:pPr>
        <w:spacing w:before="66" w:line="242" w:lineRule="auto"/>
        <w:ind w:left="218" w:right="470"/>
        <w:rPr>
          <w:sz w:val="24"/>
        </w:rPr>
      </w:pPr>
      <w:r>
        <w:pict>
          <v:group id="_x0000_s1035" o:spid="_x0000_s1035" o:spt="203" style="position:absolute;left:0pt;margin-left:65.3pt;margin-top:2.8pt;height:713.9pt;width:479.15pt;mso-position-horizontal-relative:page;z-index:-253509632;mso-width-relative:page;mso-height-relative:page;" coordorigin="1306,56" coordsize="9583,12672">
            <o:lock v:ext="edit"/>
            <v:rect id="_x0000_s1041" o:spid="_x0000_s1041" o:spt="1" style="position:absolute;left:1306;top:56;height:10;width:10;" fillcolor="#000000" filled="t" stroked="f" coordsize="21600,21600">
              <v:path/>
              <v:fill on="t" focussize="0,0"/>
              <v:stroke on="f"/>
              <v:imagedata o:title=""/>
              <o:lock v:ext="edit"/>
            </v:rect>
            <v:line id="_x0000_s1040" o:spid="_x0000_s1040" o:spt="20" style="position:absolute;left:1316;top:61;height:0;width:9563;" coordsize="21600,21600">
              <v:path arrowok="t"/>
              <v:fill focussize="0,0"/>
              <v:stroke weight="0.48pt"/>
              <v:imagedata o:title=""/>
              <o:lock v:ext="edit"/>
            </v:line>
            <v:rect id="_x0000_s1039" o:spid="_x0000_s1039" o:spt="1" style="position:absolute;left:10879;top:56;height:10;width:10;" fillcolor="#000000" filled="t" stroked="f" coordsize="21600,21600">
              <v:path/>
              <v:fill on="t" focussize="0,0"/>
              <v:stroke on="f"/>
              <v:imagedata o:title=""/>
              <o:lock v:ext="edit"/>
            </v:rect>
            <v:line id="_x0000_s1038" o:spid="_x0000_s1038" o:spt="20" style="position:absolute;left:1311;top:66;height:12662;width:0;" coordsize="21600,21600">
              <v:path arrowok="t"/>
              <v:fill focussize="0,0"/>
              <v:stroke weight="0.48pt"/>
              <v:imagedata o:title=""/>
              <o:lock v:ext="edit"/>
            </v:line>
            <v:line id="_x0000_s1037" o:spid="_x0000_s1037" o:spt="20" style="position:absolute;left:1316;top:12723;height:0;width:9563;" coordsize="21600,21600">
              <v:path arrowok="t"/>
              <v:fill focussize="0,0"/>
              <v:stroke weight="0.48007874015748pt"/>
              <v:imagedata o:title=""/>
              <o:lock v:ext="edit"/>
            </v:line>
            <v:line id="_x0000_s1036" o:spid="_x0000_s1036" o:spt="20" style="position:absolute;left:10884;top:66;height:12662;width:0;" coordsize="21600,21600">
              <v:path arrowok="t"/>
              <v:fill focussize="0,0"/>
              <v:stroke weight="0.48pt"/>
              <v:imagedata o:title=""/>
              <o:lock v:ext="edit"/>
            </v:line>
          </v:group>
        </w:pict>
      </w:r>
      <w:r>
        <w:rPr>
          <w:sz w:val="24"/>
        </w:rPr>
        <w:t>（</w:t>
      </w:r>
      <w:r>
        <w:rPr>
          <w:spacing w:val="-4"/>
          <w:sz w:val="24"/>
        </w:rPr>
        <w:t>包括培养目标、基本要求、修业年限、授予学位、主要课程、主要实践性教学环节和主</w:t>
      </w:r>
      <w:r>
        <w:rPr>
          <w:spacing w:val="-1"/>
          <w:sz w:val="24"/>
        </w:rPr>
        <w:t>要专业实验、教学计划等内容</w:t>
      </w:r>
      <w:r>
        <w:rPr>
          <w:spacing w:val="-120"/>
          <w:sz w:val="24"/>
        </w:rPr>
        <w:t>）</w:t>
      </w:r>
      <w:r>
        <w:rPr>
          <w:sz w:val="24"/>
        </w:rPr>
        <w:t>（如需要可加页）</w:t>
      </w:r>
    </w:p>
    <w:p>
      <w:pPr>
        <w:spacing w:line="312" w:lineRule="auto"/>
        <w:ind w:left="215" w:right="471" w:firstLine="482" w:firstLineChars="200"/>
        <w:jc w:val="both"/>
        <w:rPr>
          <w:b/>
          <w:sz w:val="24"/>
        </w:rPr>
      </w:pPr>
      <w:r>
        <w:rPr>
          <w:rFonts w:hint="eastAsia"/>
          <w:b/>
          <w:sz w:val="24"/>
        </w:rPr>
        <w:t>一、培养目标</w:t>
      </w:r>
    </w:p>
    <w:p>
      <w:pPr>
        <w:spacing w:before="66" w:line="312" w:lineRule="auto"/>
        <w:ind w:left="215" w:right="471" w:firstLine="480" w:firstLineChars="200"/>
        <w:jc w:val="both"/>
        <w:rPr>
          <w:sz w:val="24"/>
        </w:rPr>
      </w:pPr>
      <w:r>
        <w:rPr>
          <w:sz w:val="24"/>
        </w:rPr>
        <w:t>本专业培养适应现代酒店业发展需要，</w:t>
      </w:r>
      <w:r>
        <w:rPr>
          <w:rFonts w:hint="eastAsia"/>
          <w:sz w:val="24"/>
          <w:lang w:val="en-US" w:eastAsia="zh-CN"/>
        </w:rPr>
        <w:t>德、智、体、美、劳全面发展，具有良好人文与专业素养，</w:t>
      </w:r>
      <w:r>
        <w:rPr>
          <w:sz w:val="24"/>
        </w:rPr>
        <w:t>具备扎实的</w:t>
      </w:r>
      <w:r>
        <w:rPr>
          <w:rFonts w:hint="eastAsia"/>
          <w:sz w:val="24"/>
          <w:lang w:val="en-US" w:eastAsia="zh-CN"/>
        </w:rPr>
        <w:t>经济学和</w:t>
      </w:r>
      <w:r>
        <w:rPr>
          <w:sz w:val="24"/>
        </w:rPr>
        <w:t>管理</w:t>
      </w:r>
      <w:r>
        <w:rPr>
          <w:rFonts w:hint="eastAsia"/>
          <w:sz w:val="24"/>
          <w:lang w:val="en-US" w:eastAsia="zh-CN"/>
        </w:rPr>
        <w:t>学</w:t>
      </w:r>
      <w:r>
        <w:rPr>
          <w:sz w:val="24"/>
        </w:rPr>
        <w:t>知识，</w:t>
      </w:r>
      <w:r>
        <w:rPr>
          <w:rFonts w:hint="eastAsia"/>
          <w:sz w:val="24"/>
          <w:lang w:val="en-US" w:eastAsia="zh-CN"/>
        </w:rPr>
        <w:t>系统掌握</w:t>
      </w:r>
      <w:r>
        <w:rPr>
          <w:sz w:val="24"/>
        </w:rPr>
        <w:t>现代</w:t>
      </w:r>
      <w:r>
        <w:rPr>
          <w:rFonts w:hint="eastAsia"/>
          <w:sz w:val="24"/>
          <w:lang w:val="en-US" w:eastAsia="zh-CN"/>
        </w:rPr>
        <w:t>住宿业</w:t>
      </w:r>
      <w:r>
        <w:rPr>
          <w:sz w:val="24"/>
        </w:rPr>
        <w:t>经营管理</w:t>
      </w:r>
      <w:r>
        <w:rPr>
          <w:rFonts w:hint="eastAsia"/>
          <w:sz w:val="24"/>
          <w:lang w:val="en-US" w:eastAsia="zh-CN"/>
        </w:rPr>
        <w:t>专业知识</w:t>
      </w:r>
      <w:r>
        <w:rPr>
          <w:sz w:val="24"/>
        </w:rPr>
        <w:t>，</w:t>
      </w:r>
      <w:r>
        <w:rPr>
          <w:rFonts w:hint="eastAsia"/>
          <w:sz w:val="24"/>
          <w:lang w:val="en-US" w:eastAsia="zh-CN"/>
        </w:rPr>
        <w:t>具备高星级酒店经营管理、人力资源管理、营销策划能力，具有</w:t>
      </w:r>
      <w:r>
        <w:rPr>
          <w:sz w:val="24"/>
        </w:rPr>
        <w:t>国际视野、创新意识、</w:t>
      </w:r>
      <w:r>
        <w:rPr>
          <w:rFonts w:hint="eastAsia"/>
          <w:sz w:val="24"/>
          <w:lang w:val="en-US" w:eastAsia="zh-CN"/>
        </w:rPr>
        <w:t>团队</w:t>
      </w:r>
      <w:r>
        <w:rPr>
          <w:sz w:val="24"/>
        </w:rPr>
        <w:t>精神和社会责任，</w:t>
      </w:r>
      <w:r>
        <w:rPr>
          <w:rFonts w:hint="eastAsia"/>
          <w:sz w:val="24"/>
          <w:lang w:val="en-US" w:eastAsia="zh-CN"/>
        </w:rPr>
        <w:t>具备酒店职业经理人的能力和战略眼光，</w:t>
      </w:r>
      <w:r>
        <w:rPr>
          <w:sz w:val="24"/>
        </w:rPr>
        <w:t>能够在</w:t>
      </w:r>
      <w:r>
        <w:rPr>
          <w:rFonts w:hint="eastAsia"/>
          <w:sz w:val="24"/>
          <w:lang w:val="en-US" w:eastAsia="zh-CN"/>
        </w:rPr>
        <w:t>国际知名</w:t>
      </w:r>
      <w:r>
        <w:rPr>
          <w:sz w:val="24"/>
        </w:rPr>
        <w:t>高星级酒店</w:t>
      </w:r>
      <w:r>
        <w:rPr>
          <w:rFonts w:hint="eastAsia"/>
          <w:sz w:val="24"/>
          <w:lang w:val="en-US" w:eastAsia="zh-CN"/>
        </w:rPr>
        <w:t>集团</w:t>
      </w:r>
      <w:r>
        <w:rPr>
          <w:sz w:val="24"/>
        </w:rPr>
        <w:t>、</w:t>
      </w:r>
      <w:r>
        <w:rPr>
          <w:rFonts w:hint="eastAsia"/>
          <w:sz w:val="24"/>
          <w:lang w:val="en-US" w:eastAsia="zh-CN"/>
        </w:rPr>
        <w:t>管理咨询服务</w:t>
      </w:r>
      <w:r>
        <w:rPr>
          <w:sz w:val="24"/>
        </w:rPr>
        <w:t>机构、高级餐饮业机构、</w:t>
      </w:r>
      <w:r>
        <w:rPr>
          <w:rFonts w:hint="eastAsia"/>
          <w:sz w:val="24"/>
          <w:lang w:val="en-US" w:eastAsia="zh-CN"/>
        </w:rPr>
        <w:t>房车露营地、民宿等新型住宿业</w:t>
      </w:r>
      <w:r>
        <w:rPr>
          <w:sz w:val="24"/>
        </w:rPr>
        <w:t>等从事</w:t>
      </w:r>
      <w:r>
        <w:rPr>
          <w:rFonts w:hint="eastAsia"/>
          <w:sz w:val="24"/>
          <w:lang w:val="en-US" w:eastAsia="zh-CN"/>
        </w:rPr>
        <w:t>运营</w:t>
      </w:r>
      <w:r>
        <w:rPr>
          <w:sz w:val="24"/>
        </w:rPr>
        <w:t>管理、</w:t>
      </w:r>
      <w:r>
        <w:rPr>
          <w:rFonts w:hint="eastAsia"/>
          <w:sz w:val="24"/>
          <w:lang w:val="en-US" w:eastAsia="zh-CN"/>
        </w:rPr>
        <w:t>管理咨询、营销、策划等工作</w:t>
      </w:r>
      <w:r>
        <w:rPr>
          <w:sz w:val="24"/>
        </w:rPr>
        <w:t>的</w:t>
      </w:r>
      <w:r>
        <w:rPr>
          <w:rFonts w:hint="eastAsia"/>
          <w:sz w:val="24"/>
          <w:lang w:val="en-US" w:eastAsia="zh-CN"/>
        </w:rPr>
        <w:t>国际型、创新型、</w:t>
      </w:r>
      <w:r>
        <w:rPr>
          <w:sz w:val="24"/>
        </w:rPr>
        <w:t>应用型专业人才。</w:t>
      </w:r>
    </w:p>
    <w:p>
      <w:pPr>
        <w:spacing w:line="312" w:lineRule="auto"/>
        <w:ind w:left="215" w:right="471" w:firstLine="482" w:firstLineChars="200"/>
        <w:jc w:val="both"/>
        <w:rPr>
          <w:b/>
          <w:sz w:val="24"/>
        </w:rPr>
      </w:pPr>
      <w:r>
        <w:rPr>
          <w:rFonts w:hint="eastAsia"/>
          <w:b/>
          <w:sz w:val="24"/>
        </w:rPr>
        <w:t>二、培养规格基本要求</w:t>
      </w:r>
    </w:p>
    <w:p>
      <w:pPr>
        <w:spacing w:before="66" w:line="312" w:lineRule="auto"/>
        <w:ind w:left="215" w:right="471" w:firstLine="480" w:firstLineChars="200"/>
        <w:jc w:val="both"/>
        <w:rPr>
          <w:sz w:val="24"/>
        </w:rPr>
      </w:pPr>
      <w:r>
        <w:rPr>
          <w:sz w:val="24"/>
        </w:rPr>
        <w:t>本专业学生主要学习现代酒店经营与管理的基本理论和基础知识，接受现代酒店服务与管理标准化职业素养方面的基本训练</w:t>
      </w:r>
      <w:r>
        <w:rPr>
          <w:rFonts w:hint="eastAsia"/>
          <w:sz w:val="24"/>
        </w:rPr>
        <w:t>，</w:t>
      </w:r>
      <w:r>
        <w:rPr>
          <w:sz w:val="24"/>
        </w:rPr>
        <w:t xml:space="preserve">掌握专业管理理论知识和酒店经营管理的基本能力。毕业生应达到以下几个方面的能力： </w:t>
      </w:r>
    </w:p>
    <w:p>
      <w:pPr>
        <w:spacing w:before="66" w:line="312" w:lineRule="auto"/>
        <w:ind w:left="215" w:right="471" w:firstLine="480" w:firstLineChars="200"/>
        <w:jc w:val="both"/>
        <w:rPr>
          <w:sz w:val="24"/>
        </w:rPr>
      </w:pPr>
      <w:r>
        <w:rPr>
          <w:rFonts w:hint="eastAsia"/>
          <w:sz w:val="24"/>
        </w:rPr>
        <w:t>1.</w:t>
      </w:r>
      <w:r>
        <w:rPr>
          <w:sz w:val="24"/>
        </w:rPr>
        <w:t xml:space="preserve">具有扎实的管理类学科的基本理论和基本知识的能力。 </w:t>
      </w:r>
    </w:p>
    <w:p>
      <w:pPr>
        <w:spacing w:before="66" w:line="312" w:lineRule="auto"/>
        <w:ind w:left="215" w:right="471" w:firstLine="480" w:firstLineChars="200"/>
        <w:jc w:val="both"/>
        <w:rPr>
          <w:sz w:val="24"/>
        </w:rPr>
      </w:pPr>
      <w:r>
        <w:rPr>
          <w:sz w:val="24"/>
        </w:rPr>
        <w:t>具有坚实的管理学、经济学等相关学科的基本理论和基础知识；掌握现代酒店经营与管理各类岗位的基本技能</w:t>
      </w:r>
      <w:r>
        <w:rPr>
          <w:rFonts w:hint="eastAsia"/>
          <w:sz w:val="24"/>
        </w:rPr>
        <w:t>；</w:t>
      </w:r>
      <w:r>
        <w:rPr>
          <w:sz w:val="24"/>
        </w:rPr>
        <w:t>具有很强的自学能力和知识更新能力</w:t>
      </w:r>
      <w:r>
        <w:rPr>
          <w:rFonts w:hint="eastAsia"/>
          <w:sz w:val="24"/>
        </w:rPr>
        <w:t>；</w:t>
      </w:r>
      <w:r>
        <w:rPr>
          <w:sz w:val="24"/>
        </w:rPr>
        <w:t xml:space="preserve">具有初步的科学研究和实际工作能力，具有一定的创新思维能力。 </w:t>
      </w:r>
    </w:p>
    <w:p>
      <w:pPr>
        <w:spacing w:before="66" w:line="312" w:lineRule="auto"/>
        <w:ind w:left="215" w:right="471" w:firstLine="480" w:firstLineChars="200"/>
        <w:jc w:val="both"/>
        <w:rPr>
          <w:sz w:val="24"/>
        </w:rPr>
      </w:pPr>
      <w:r>
        <w:rPr>
          <w:rFonts w:hint="eastAsia"/>
          <w:sz w:val="24"/>
        </w:rPr>
        <w:t>2.</w:t>
      </w:r>
      <w:r>
        <w:rPr>
          <w:sz w:val="24"/>
        </w:rPr>
        <w:t xml:space="preserve">具有国际化酒店服务和管理标准化的职业能力。 </w:t>
      </w:r>
    </w:p>
    <w:p>
      <w:pPr>
        <w:spacing w:before="66" w:line="312" w:lineRule="auto"/>
        <w:ind w:left="215" w:right="471" w:firstLine="480" w:firstLineChars="200"/>
        <w:jc w:val="both"/>
        <w:rPr>
          <w:sz w:val="24"/>
        </w:rPr>
      </w:pPr>
      <w:r>
        <w:rPr>
          <w:sz w:val="24"/>
        </w:rPr>
        <w:t>熟悉国际化酒店服务和管理运作体系，具备一定的国际酒店管理能力</w:t>
      </w:r>
      <w:r>
        <w:rPr>
          <w:rFonts w:hint="eastAsia"/>
          <w:sz w:val="24"/>
        </w:rPr>
        <w:t>；</w:t>
      </w:r>
      <w:r>
        <w:rPr>
          <w:sz w:val="24"/>
        </w:rPr>
        <w:t>系统掌握酒店经营管理的基础理论知识，熟悉酒店各部门经营运作流程</w:t>
      </w:r>
      <w:r>
        <w:rPr>
          <w:rFonts w:hint="eastAsia"/>
          <w:sz w:val="24"/>
        </w:rPr>
        <w:t>；</w:t>
      </w:r>
      <w:r>
        <w:rPr>
          <w:sz w:val="24"/>
        </w:rPr>
        <w:t>有意识涉猎相关学科的基本知识，并具有能运用相关理论和方法解决酒店行业中存在问题的能力</w:t>
      </w:r>
      <w:r>
        <w:rPr>
          <w:rFonts w:hint="eastAsia"/>
          <w:sz w:val="24"/>
        </w:rPr>
        <w:t>；</w:t>
      </w:r>
      <w:r>
        <w:rPr>
          <w:sz w:val="24"/>
        </w:rPr>
        <w:t>掌握现代服务理念，了解酒店管理及其他现代服务业管理理念的发展趋势。</w:t>
      </w:r>
    </w:p>
    <w:p>
      <w:pPr>
        <w:spacing w:before="66" w:line="312" w:lineRule="auto"/>
        <w:ind w:left="215" w:right="471" w:firstLine="480" w:firstLineChars="200"/>
        <w:jc w:val="both"/>
        <w:rPr>
          <w:sz w:val="24"/>
        </w:rPr>
      </w:pPr>
      <w:r>
        <w:rPr>
          <w:rFonts w:hint="eastAsia"/>
          <w:sz w:val="24"/>
        </w:rPr>
        <w:t>3.</w:t>
      </w:r>
      <w:r>
        <w:rPr>
          <w:sz w:val="24"/>
        </w:rPr>
        <w:t>具备良好的职业道德和操守，了解酒店行业的基本工作内容及相关法律法规。</w:t>
      </w:r>
    </w:p>
    <w:p>
      <w:pPr>
        <w:spacing w:before="66" w:line="312" w:lineRule="auto"/>
        <w:ind w:left="215" w:right="471" w:firstLine="480" w:firstLineChars="200"/>
        <w:jc w:val="both"/>
        <w:rPr>
          <w:sz w:val="24"/>
        </w:rPr>
      </w:pPr>
      <w:r>
        <w:rPr>
          <w:sz w:val="24"/>
        </w:rPr>
        <w:t>具有良好的思想素质、文化修养、社会道德等人文素养</w:t>
      </w:r>
      <w:r>
        <w:rPr>
          <w:rFonts w:hint="eastAsia"/>
          <w:sz w:val="24"/>
        </w:rPr>
        <w:t>；</w:t>
      </w:r>
      <w:r>
        <w:rPr>
          <w:sz w:val="24"/>
        </w:rPr>
        <w:t>具有实事求是的工作态度和严谨务实的科学精神</w:t>
      </w:r>
      <w:r>
        <w:rPr>
          <w:rFonts w:hint="eastAsia"/>
          <w:sz w:val="24"/>
        </w:rPr>
        <w:t>；</w:t>
      </w:r>
      <w:r>
        <w:rPr>
          <w:sz w:val="24"/>
        </w:rPr>
        <w:t>熟悉我国旅游、酒店业发展的方针、政策和法规</w:t>
      </w:r>
      <w:r>
        <w:rPr>
          <w:rFonts w:hint="eastAsia"/>
          <w:sz w:val="24"/>
        </w:rPr>
        <w:t>；</w:t>
      </w:r>
      <w:r>
        <w:rPr>
          <w:sz w:val="24"/>
        </w:rPr>
        <w:t xml:space="preserve">熟悉可行性分析报告、实验报告、研究方案设计及论文撰写规范。 </w:t>
      </w:r>
    </w:p>
    <w:p>
      <w:pPr>
        <w:spacing w:before="66" w:line="312" w:lineRule="auto"/>
        <w:ind w:left="215" w:right="471" w:firstLine="480" w:firstLineChars="200"/>
        <w:jc w:val="both"/>
        <w:rPr>
          <w:sz w:val="24"/>
        </w:rPr>
      </w:pPr>
      <w:r>
        <w:rPr>
          <w:rFonts w:hint="eastAsia"/>
          <w:sz w:val="24"/>
        </w:rPr>
        <w:t>4.</w:t>
      </w:r>
      <w:r>
        <w:rPr>
          <w:sz w:val="24"/>
        </w:rPr>
        <w:t>具有良好的沟通和交流能力。</w:t>
      </w:r>
    </w:p>
    <w:p>
      <w:pPr>
        <w:spacing w:before="66" w:line="312" w:lineRule="auto"/>
        <w:ind w:left="215" w:right="471" w:firstLine="480" w:firstLineChars="200"/>
        <w:jc w:val="both"/>
        <w:rPr>
          <w:sz w:val="24"/>
        </w:rPr>
      </w:pPr>
      <w:r>
        <w:rPr>
          <w:sz w:val="24"/>
        </w:rPr>
        <w:t>具备较高的外语水平，具有一定的国际视野和跨文化的交流、竞争与合作能力</w:t>
      </w:r>
      <w:r>
        <w:rPr>
          <w:rFonts w:hint="eastAsia"/>
          <w:sz w:val="24"/>
        </w:rPr>
        <w:t>；</w:t>
      </w:r>
      <w:r>
        <w:rPr>
          <w:sz w:val="24"/>
        </w:rPr>
        <w:t>具备运用现代信息技术进行文献检索、资料查询、整理归纳的能力</w:t>
      </w:r>
      <w:r>
        <w:rPr>
          <w:rFonts w:hint="eastAsia"/>
          <w:sz w:val="24"/>
        </w:rPr>
        <w:t>；</w:t>
      </w:r>
      <w:r>
        <w:rPr>
          <w:sz w:val="24"/>
        </w:rPr>
        <w:t>具有团队协作精神，具有较强的组织能力、协调能力和沟通能力</w:t>
      </w:r>
      <w:r>
        <w:rPr>
          <w:rFonts w:hint="eastAsia"/>
          <w:sz w:val="24"/>
        </w:rPr>
        <w:t>；</w:t>
      </w:r>
      <w:r>
        <w:rPr>
          <w:sz w:val="24"/>
        </w:rPr>
        <w:t>具有良好的心理素质和健康的体魄，能适应快速发展和不断变化的社会。</w:t>
      </w:r>
    </w:p>
    <w:p>
      <w:pPr>
        <w:spacing w:line="312" w:lineRule="auto"/>
        <w:ind w:left="215" w:right="471" w:firstLine="482" w:firstLineChars="200"/>
        <w:jc w:val="both"/>
        <w:rPr>
          <w:b/>
          <w:sz w:val="24"/>
        </w:rPr>
      </w:pPr>
      <w:r>
        <w:rPr>
          <w:rFonts w:hint="eastAsia"/>
          <w:b/>
          <w:sz w:val="24"/>
        </w:rPr>
        <w:t>三、专业核心课程</w:t>
      </w:r>
    </w:p>
    <w:p>
      <w:pPr>
        <w:spacing w:before="66" w:line="312" w:lineRule="auto"/>
        <w:ind w:left="215" w:right="471" w:firstLine="480" w:firstLineChars="200"/>
        <w:jc w:val="both"/>
        <w:rPr>
          <w:sz w:val="24"/>
        </w:rPr>
      </w:pPr>
      <w:r>
        <w:rPr>
          <w:rFonts w:hint="eastAsia"/>
          <w:sz w:val="24"/>
        </w:rPr>
        <w:t>本专业核心课程：旅游目的地管理、旅游学概论、旅游接待业、旅游消费者行为、酒店管理概论、酒店运营管理、市场营销。</w:t>
      </w:r>
    </w:p>
    <w:p>
      <w:pPr>
        <w:spacing w:line="312" w:lineRule="auto"/>
        <w:ind w:left="215" w:right="471" w:firstLine="482" w:firstLineChars="200"/>
        <w:jc w:val="both"/>
        <w:rPr>
          <w:b/>
          <w:sz w:val="24"/>
        </w:rPr>
      </w:pPr>
      <w:r>
        <w:rPr>
          <w:rFonts w:hint="eastAsia"/>
          <w:b/>
          <w:sz w:val="24"/>
        </w:rPr>
        <w:t>四、学制与学期安排</w:t>
      </w:r>
    </w:p>
    <w:p>
      <w:pPr>
        <w:spacing w:before="66" w:line="312" w:lineRule="auto"/>
        <w:ind w:left="215" w:right="471" w:firstLine="480" w:firstLineChars="200"/>
        <w:jc w:val="both"/>
        <w:rPr>
          <w:sz w:val="24"/>
        </w:rPr>
      </w:pPr>
      <w:r>
        <w:rPr>
          <w:rFonts w:hint="eastAsia"/>
          <w:sz w:val="24"/>
        </w:rPr>
        <w:t>基本修业年限为四学年，每学年分上、下两个学期。全程教学共计</w:t>
      </w:r>
      <w:r>
        <w:rPr>
          <w:sz w:val="24"/>
        </w:rPr>
        <w:t>165</w:t>
      </w:r>
      <w:r>
        <w:rPr>
          <w:rFonts w:hint="eastAsia"/>
          <w:sz w:val="24"/>
        </w:rPr>
        <w:t>周：每学期按</w:t>
      </w:r>
      <w:r>
        <w:pict>
          <v:group id="_x0000_s1049" o:spid="_x0000_s1049" o:spt="203" style="position:absolute;left:0pt;margin-left:66.05pt;margin-top:0.3pt;height:719pt;width:479.15pt;mso-position-horizontal-relative:page;z-index:-253509632;mso-width-relative:page;mso-height-relative:page;" coordorigin="1306,56" coordsize="9583,12672">
            <o:lock v:ext="edit" aspectratio="f"/>
            <v:rect id="_x0000_s1050" o:spid="_x0000_s1050" o:spt="1" style="position:absolute;left:1306;top:56;height:10;width:10;" fillcolor="#000000" filled="t" stroked="f" coordsize="21600,21600">
              <v:path/>
              <v:fill on="t" color2="#FFFFFF" focussize="0,0"/>
              <v:stroke on="f"/>
              <v:imagedata o:title=""/>
              <o:lock v:ext="edit" aspectratio="f"/>
            </v:rect>
            <v:line id="_x0000_s1051" o:spid="_x0000_s1051" o:spt="20" style="position:absolute;left:1316;top:61;height:0;width:9563;" filled="f" stroked="t" coordsize="21600,21600">
              <v:path arrowok="t"/>
              <v:fill on="f" focussize="0,0"/>
              <v:stroke weight="0.48pt" color="#000000"/>
              <v:imagedata o:title=""/>
              <o:lock v:ext="edit" aspectratio="f"/>
            </v:line>
            <v:rect id="_x0000_s1052" o:spid="_x0000_s1052" o:spt="1" style="position:absolute;left:10879;top:56;height:10;width:10;" fillcolor="#000000" filled="t" stroked="f" coordsize="21600,21600">
              <v:path/>
              <v:fill on="t" color2="#FFFFFF" focussize="0,0"/>
              <v:stroke on="f"/>
              <v:imagedata o:title=""/>
              <o:lock v:ext="edit" aspectratio="f"/>
            </v:rect>
            <v:line id="_x0000_s1053" o:spid="_x0000_s1053" o:spt="20" style="position:absolute;left:1311;top:66;height:12662;width:0;" filled="f" stroked="t" coordsize="21600,21600">
              <v:path arrowok="t"/>
              <v:fill on="f" focussize="0,0"/>
              <v:stroke weight="0.48pt" color="#000000"/>
              <v:imagedata o:title=""/>
              <o:lock v:ext="edit" aspectratio="f"/>
            </v:line>
            <v:line id="_x0000_s1054" o:spid="_x0000_s1054" o:spt="20" style="position:absolute;left:1316;top:12723;height:0;width:9563;" filled="f" stroked="t" coordsize="21600,21600">
              <v:path arrowok="t"/>
              <v:fill on="f" focussize="0,0"/>
              <v:stroke weight="0.48007874015748pt" color="#000000"/>
              <v:imagedata o:title=""/>
              <o:lock v:ext="edit" aspectratio="f"/>
            </v:line>
            <v:line id="_x0000_s1055" o:spid="_x0000_s1055" o:spt="20" style="position:absolute;left:10884;top:66;height:12662;width:0;" filled="f" stroked="t" coordsize="21600,21600">
              <v:path arrowok="t"/>
              <v:fill on="f" focussize="0,0"/>
              <v:stroke weight="0.48pt" color="#000000"/>
              <v:imagedata o:title=""/>
              <o:lock v:ext="edit" aspectratio="f"/>
            </v:line>
          </v:group>
        </w:pict>
      </w:r>
      <w:r>
        <w:rPr>
          <w:sz w:val="24"/>
        </w:rPr>
        <w:t>20</w:t>
      </w:r>
      <w:r>
        <w:rPr>
          <w:rFonts w:hint="eastAsia"/>
          <w:sz w:val="24"/>
        </w:rPr>
        <w:t>周规划课程教学（含考试）周数（第</w:t>
      </w:r>
      <w:r>
        <w:rPr>
          <w:sz w:val="24"/>
        </w:rPr>
        <w:t>8</w:t>
      </w:r>
      <w:r>
        <w:rPr>
          <w:rFonts w:hint="eastAsia"/>
          <w:sz w:val="24"/>
        </w:rPr>
        <w:t>学期</w:t>
      </w:r>
      <w:r>
        <w:rPr>
          <w:sz w:val="24"/>
        </w:rPr>
        <w:t>19</w:t>
      </w:r>
      <w:r>
        <w:rPr>
          <w:rFonts w:hint="eastAsia"/>
          <w:sz w:val="24"/>
        </w:rPr>
        <w:t>周），课程教学周计为</w:t>
      </w:r>
      <w:r>
        <w:rPr>
          <w:sz w:val="24"/>
        </w:rPr>
        <w:t>159</w:t>
      </w:r>
      <w:r>
        <w:rPr>
          <w:rFonts w:hint="eastAsia"/>
          <w:sz w:val="24"/>
        </w:rPr>
        <w:t>周；根据专业教学</w:t>
      </w:r>
      <w:r>
        <w:rPr>
          <w:sz w:val="24"/>
        </w:rPr>
        <w:t>,</w:t>
      </w:r>
      <w:r>
        <w:rPr>
          <w:rFonts w:hint="eastAsia"/>
          <w:sz w:val="24"/>
        </w:rPr>
        <w:t>需要经学校批准，可在两个学期之间设小学期，安排课程学习、专业实训、社会实践等教学活动，共约</w:t>
      </w:r>
      <w:r>
        <w:rPr>
          <w:sz w:val="24"/>
        </w:rPr>
        <w:t>6</w:t>
      </w:r>
      <w:r>
        <w:rPr>
          <w:rFonts w:hint="eastAsia"/>
          <w:sz w:val="24"/>
        </w:rPr>
        <w:t>周。</w:t>
      </w:r>
    </w:p>
    <w:p>
      <w:pPr>
        <w:spacing w:line="312" w:lineRule="auto"/>
        <w:ind w:left="215" w:right="471" w:firstLine="482" w:firstLineChars="200"/>
        <w:jc w:val="both"/>
        <w:rPr>
          <w:b/>
          <w:sz w:val="24"/>
        </w:rPr>
      </w:pPr>
      <w:r>
        <w:rPr>
          <w:rFonts w:hint="eastAsia"/>
          <w:b/>
          <w:sz w:val="24"/>
        </w:rPr>
        <w:t>五、毕业与授予学位要求</w:t>
      </w:r>
    </w:p>
    <w:p>
      <w:pPr>
        <w:spacing w:before="66" w:line="312" w:lineRule="auto"/>
        <w:ind w:left="215" w:right="471" w:firstLine="480" w:firstLineChars="200"/>
        <w:jc w:val="both"/>
        <w:rPr>
          <w:sz w:val="24"/>
        </w:rPr>
      </w:pPr>
      <w:r>
        <w:rPr>
          <w:rFonts w:hint="eastAsia"/>
          <w:sz w:val="24"/>
        </w:rPr>
        <w:t>学生在规定的修业年限内必须完成160学分，其中通识必修课</w:t>
      </w:r>
      <w:r>
        <w:rPr>
          <w:sz w:val="24"/>
        </w:rPr>
        <w:t>5</w:t>
      </w:r>
      <w:r>
        <w:rPr>
          <w:rFonts w:hint="eastAsia"/>
          <w:sz w:val="24"/>
        </w:rPr>
        <w:t>1学分，通识选修课</w:t>
      </w:r>
      <w:r>
        <w:rPr>
          <w:sz w:val="24"/>
        </w:rPr>
        <w:t>18</w:t>
      </w:r>
      <w:r>
        <w:rPr>
          <w:rFonts w:hint="eastAsia"/>
          <w:sz w:val="24"/>
        </w:rPr>
        <w:t>学分，专业基础课</w:t>
      </w:r>
      <w:r>
        <w:rPr>
          <w:sz w:val="24"/>
        </w:rPr>
        <w:t>21</w:t>
      </w:r>
      <w:r>
        <w:rPr>
          <w:rFonts w:hint="eastAsia"/>
          <w:sz w:val="24"/>
        </w:rPr>
        <w:t>学分，专业必修课</w:t>
      </w:r>
      <w:r>
        <w:rPr>
          <w:sz w:val="24"/>
        </w:rPr>
        <w:t>2</w:t>
      </w:r>
      <w:r>
        <w:rPr>
          <w:rFonts w:hint="eastAsia"/>
          <w:sz w:val="24"/>
        </w:rPr>
        <w:t>4学分，专业选修课</w:t>
      </w:r>
      <w:r>
        <w:rPr>
          <w:sz w:val="24"/>
        </w:rPr>
        <w:t>2</w:t>
      </w:r>
      <w:r>
        <w:rPr>
          <w:rFonts w:hint="eastAsia"/>
          <w:sz w:val="24"/>
        </w:rPr>
        <w:t>2学分，实践与实验课程24学分。普通话水平原则上应达到二级甲等。学生毕业体质测试成绩应达到</w:t>
      </w:r>
      <w:r>
        <w:rPr>
          <w:sz w:val="24"/>
        </w:rPr>
        <w:t>50</w:t>
      </w:r>
      <w:r>
        <w:rPr>
          <w:rFonts w:hint="eastAsia"/>
          <w:sz w:val="24"/>
        </w:rPr>
        <w:t>分，特殊情况可依有关文件规定免予测试。学生毕业时，通过毕业资格审查方准毕业。</w:t>
      </w:r>
    </w:p>
    <w:p>
      <w:pPr>
        <w:spacing w:before="66" w:line="312" w:lineRule="auto"/>
        <w:ind w:left="215" w:right="471" w:firstLine="480" w:firstLineChars="200"/>
        <w:jc w:val="both"/>
        <w:rPr>
          <w:sz w:val="24"/>
        </w:rPr>
      </w:pPr>
      <w:r>
        <w:rPr>
          <w:rFonts w:hint="eastAsia"/>
          <w:sz w:val="24"/>
        </w:rPr>
        <w:t>毕业时符合学位授予条件的，授予管理学学士学位。</w:t>
      </w:r>
    </w:p>
    <w:p>
      <w:pPr>
        <w:spacing w:line="312" w:lineRule="auto"/>
        <w:ind w:left="215" w:right="471" w:firstLine="482" w:firstLineChars="200"/>
        <w:jc w:val="both"/>
        <w:rPr>
          <w:b/>
          <w:sz w:val="24"/>
        </w:rPr>
      </w:pPr>
      <w:r>
        <w:rPr>
          <w:rFonts w:hint="eastAsia"/>
          <w:b/>
          <w:sz w:val="24"/>
        </w:rPr>
        <w:t>六、专业与课程修读指引</w:t>
      </w:r>
    </w:p>
    <w:p>
      <w:pPr>
        <w:spacing w:before="66" w:line="312" w:lineRule="auto"/>
        <w:ind w:left="215" w:right="471" w:firstLine="480" w:firstLineChars="200"/>
        <w:jc w:val="both"/>
        <w:rPr>
          <w:sz w:val="24"/>
        </w:rPr>
      </w:pPr>
      <w:r>
        <w:rPr>
          <w:sz w:val="24"/>
        </w:rPr>
        <w:t>1</w:t>
      </w:r>
      <w:r>
        <w:rPr>
          <w:rFonts w:hint="eastAsia"/>
          <w:sz w:val="24"/>
        </w:rPr>
        <w:t>.本专业获得毕业资格要求完成160学分，其中通识必修课</w:t>
      </w:r>
      <w:r>
        <w:rPr>
          <w:sz w:val="24"/>
        </w:rPr>
        <w:t>5</w:t>
      </w:r>
      <w:r>
        <w:rPr>
          <w:rFonts w:hint="eastAsia"/>
          <w:sz w:val="24"/>
        </w:rPr>
        <w:t>1学分，通识选修课</w:t>
      </w:r>
      <w:r>
        <w:rPr>
          <w:sz w:val="24"/>
        </w:rPr>
        <w:t>18</w:t>
      </w:r>
      <w:r>
        <w:rPr>
          <w:rFonts w:hint="eastAsia"/>
          <w:sz w:val="24"/>
        </w:rPr>
        <w:t>学分，专业基础课</w:t>
      </w:r>
      <w:r>
        <w:rPr>
          <w:sz w:val="24"/>
        </w:rPr>
        <w:t>21</w:t>
      </w:r>
      <w:r>
        <w:rPr>
          <w:rFonts w:hint="eastAsia"/>
          <w:sz w:val="24"/>
        </w:rPr>
        <w:t>学分，专业必修课</w:t>
      </w:r>
      <w:r>
        <w:rPr>
          <w:sz w:val="24"/>
        </w:rPr>
        <w:t>2</w:t>
      </w:r>
      <w:r>
        <w:rPr>
          <w:rFonts w:hint="eastAsia"/>
          <w:sz w:val="24"/>
        </w:rPr>
        <w:t>4学分，专业选修课</w:t>
      </w:r>
      <w:r>
        <w:rPr>
          <w:sz w:val="24"/>
        </w:rPr>
        <w:t>2</w:t>
      </w:r>
      <w:r>
        <w:rPr>
          <w:rFonts w:hint="eastAsia"/>
          <w:sz w:val="24"/>
        </w:rPr>
        <w:t>2学分，实践与实验课程24学分。</w:t>
      </w:r>
    </w:p>
    <w:p>
      <w:pPr>
        <w:spacing w:before="66" w:line="312" w:lineRule="auto"/>
        <w:ind w:left="215" w:right="471" w:firstLine="480" w:firstLineChars="200"/>
        <w:jc w:val="both"/>
        <w:rPr>
          <w:sz w:val="24"/>
        </w:rPr>
      </w:pPr>
      <w:r>
        <w:rPr>
          <w:sz w:val="24"/>
        </w:rPr>
        <w:t>2</w:t>
      </w:r>
      <w:r>
        <w:rPr>
          <w:rFonts w:hint="eastAsia"/>
          <w:sz w:val="24"/>
        </w:rPr>
        <w:t>.通识选修课在</w:t>
      </w:r>
      <w:r>
        <w:rPr>
          <w:sz w:val="24"/>
        </w:rPr>
        <w:t>2-7</w:t>
      </w:r>
      <w:r>
        <w:rPr>
          <w:rFonts w:hint="eastAsia"/>
          <w:sz w:val="24"/>
        </w:rPr>
        <w:t>学期开设，合计应修满</w:t>
      </w:r>
      <w:r>
        <w:rPr>
          <w:sz w:val="24"/>
        </w:rPr>
        <w:t>18</w:t>
      </w:r>
      <w:r>
        <w:rPr>
          <w:rFonts w:hint="eastAsia"/>
          <w:sz w:val="24"/>
        </w:rPr>
        <w:t>学分。学生在学校公布的通识选修课模块内选修，其中，《创新创业基础》为学生完成学业必须修读课程，且须在前</w:t>
      </w:r>
      <w:r>
        <w:rPr>
          <w:sz w:val="24"/>
        </w:rPr>
        <w:t>3</w:t>
      </w:r>
      <w:r>
        <w:rPr>
          <w:rFonts w:hint="eastAsia"/>
          <w:sz w:val="24"/>
        </w:rPr>
        <w:t>学期完成，并取得规定学分。</w:t>
      </w:r>
    </w:p>
    <w:p>
      <w:pPr>
        <w:spacing w:before="66" w:line="312" w:lineRule="auto"/>
        <w:ind w:left="215" w:right="471" w:firstLine="480" w:firstLineChars="200"/>
        <w:jc w:val="both"/>
        <w:rPr>
          <w:sz w:val="24"/>
        </w:rPr>
      </w:pPr>
      <w:r>
        <w:rPr>
          <w:sz w:val="24"/>
        </w:rPr>
        <w:t>3</w:t>
      </w:r>
      <w:r>
        <w:rPr>
          <w:rFonts w:hint="eastAsia"/>
          <w:sz w:val="24"/>
        </w:rPr>
        <w:t>.专业选修课在</w:t>
      </w:r>
      <w:r>
        <w:rPr>
          <w:sz w:val="24"/>
        </w:rPr>
        <w:t>2-7</w:t>
      </w:r>
      <w:r>
        <w:rPr>
          <w:rFonts w:hint="eastAsia"/>
          <w:sz w:val="24"/>
        </w:rPr>
        <w:t>学期开设，学生在学校规定的各专业专业选修课模块内选修，合计应修满</w:t>
      </w:r>
      <w:r>
        <w:rPr>
          <w:sz w:val="24"/>
        </w:rPr>
        <w:t>2</w:t>
      </w:r>
      <w:r>
        <w:rPr>
          <w:rFonts w:hint="eastAsia"/>
          <w:sz w:val="24"/>
        </w:rPr>
        <w:t>2学分。</w:t>
      </w:r>
    </w:p>
    <w:p>
      <w:pPr>
        <w:spacing w:before="66" w:line="312" w:lineRule="auto"/>
        <w:ind w:left="215" w:right="471" w:firstLine="480" w:firstLineChars="200"/>
        <w:jc w:val="both"/>
        <w:rPr>
          <w:sz w:val="24"/>
        </w:rPr>
      </w:pPr>
      <w:r>
        <w:rPr>
          <w:rFonts w:hint="eastAsia"/>
          <w:sz w:val="24"/>
        </w:rPr>
        <w:t>4.大学英语在</w:t>
      </w:r>
      <w:r>
        <w:rPr>
          <w:sz w:val="24"/>
        </w:rPr>
        <w:t>1-2</w:t>
      </w:r>
      <w:r>
        <w:rPr>
          <w:rFonts w:hint="eastAsia"/>
          <w:sz w:val="24"/>
        </w:rPr>
        <w:t>学期开设必修课，学生应修满</w:t>
      </w:r>
      <w:r>
        <w:rPr>
          <w:sz w:val="24"/>
        </w:rPr>
        <w:t>8</w:t>
      </w:r>
      <w:r>
        <w:rPr>
          <w:rFonts w:hint="eastAsia"/>
          <w:sz w:val="24"/>
        </w:rPr>
        <w:t>学分；</w:t>
      </w:r>
      <w:r>
        <w:rPr>
          <w:sz w:val="24"/>
        </w:rPr>
        <w:t>3-7</w:t>
      </w:r>
      <w:r>
        <w:rPr>
          <w:rFonts w:hint="eastAsia"/>
          <w:sz w:val="24"/>
        </w:rPr>
        <w:t>学期由学生根据需要自主选修英语课程和训练项目。</w:t>
      </w:r>
    </w:p>
    <w:p>
      <w:pPr>
        <w:spacing w:before="66" w:line="312" w:lineRule="auto"/>
        <w:ind w:left="215" w:right="471" w:firstLine="480" w:firstLineChars="200"/>
        <w:jc w:val="both"/>
        <w:rPr>
          <w:sz w:val="24"/>
        </w:rPr>
      </w:pPr>
      <w:r>
        <w:rPr>
          <w:rFonts w:hint="eastAsia"/>
          <w:sz w:val="24"/>
        </w:rPr>
        <w:t>5.大学体育采取选课形式实施俱乐部教学。学生根据本人体育专长和兴趣爱好选择修读体育项目，在不同的教学俱乐部完成规定的教学内容，取得规定的</w:t>
      </w:r>
      <w:r>
        <w:rPr>
          <w:sz w:val="24"/>
        </w:rPr>
        <w:t>8</w:t>
      </w:r>
      <w:r>
        <w:rPr>
          <w:rFonts w:hint="eastAsia"/>
          <w:sz w:val="24"/>
        </w:rPr>
        <w:t>学分。</w:t>
      </w:r>
    </w:p>
    <w:p>
      <w:pPr>
        <w:spacing w:before="66" w:line="312" w:lineRule="auto"/>
        <w:ind w:left="215" w:right="471" w:firstLine="480" w:firstLineChars="200"/>
        <w:jc w:val="both"/>
        <w:rPr>
          <w:sz w:val="24"/>
        </w:rPr>
      </w:pPr>
      <w:r>
        <w:rPr>
          <w:rFonts w:hint="eastAsia"/>
          <w:sz w:val="24"/>
        </w:rPr>
        <w:t>6.对计算机已有相当基础的学生，可以在《大学计算机基础》开课前申请参加学校组织的统一测试，测试合格的学生可以免修并直接取得该课程</w:t>
      </w:r>
      <w:r>
        <w:rPr>
          <w:sz w:val="24"/>
        </w:rPr>
        <w:t>2</w:t>
      </w:r>
      <w:r>
        <w:rPr>
          <w:rFonts w:hint="eastAsia"/>
          <w:sz w:val="24"/>
        </w:rPr>
        <w:t>学分。</w:t>
      </w:r>
    </w:p>
    <w:p>
      <w:pPr>
        <w:spacing w:before="66" w:line="312" w:lineRule="auto"/>
        <w:ind w:left="215" w:right="471" w:firstLine="480" w:firstLineChars="200"/>
        <w:jc w:val="both"/>
        <w:rPr>
          <w:sz w:val="24"/>
        </w:rPr>
      </w:pPr>
      <w:r>
        <w:rPr>
          <w:rFonts w:hint="eastAsia"/>
          <w:sz w:val="24"/>
        </w:rPr>
        <w:t>7.实践及实验课：学生应完成学校统一规定和本专业安排的实践及实验课并取得24学分，方可毕业。</w:t>
      </w:r>
    </w:p>
    <w:p>
      <w:pPr>
        <w:spacing w:before="66" w:line="312" w:lineRule="auto"/>
        <w:ind w:left="215" w:right="471" w:firstLine="480" w:firstLineChars="200"/>
        <w:jc w:val="both"/>
        <w:rPr>
          <w:sz w:val="24"/>
        </w:rPr>
      </w:pPr>
      <w:r>
        <w:rPr>
          <w:rFonts w:hint="eastAsia"/>
          <w:sz w:val="24"/>
        </w:rPr>
        <w:t>（</w:t>
      </w:r>
      <w:r>
        <w:rPr>
          <w:sz w:val="24"/>
        </w:rPr>
        <w:t>1</w:t>
      </w:r>
      <w:r>
        <w:rPr>
          <w:rFonts w:hint="eastAsia"/>
          <w:sz w:val="24"/>
        </w:rPr>
        <w:t>）学校统一安排的实践教学环节包括军事理论与军事训练（</w:t>
      </w:r>
      <w:r>
        <w:rPr>
          <w:sz w:val="24"/>
        </w:rPr>
        <w:t>2</w:t>
      </w:r>
      <w:r>
        <w:rPr>
          <w:rFonts w:hint="eastAsia"/>
          <w:sz w:val="24"/>
        </w:rPr>
        <w:t>学分），形势与政策（</w:t>
      </w:r>
      <w:r>
        <w:rPr>
          <w:sz w:val="24"/>
        </w:rPr>
        <w:t>1</w:t>
      </w:r>
      <w:r>
        <w:rPr>
          <w:rFonts w:hint="eastAsia"/>
          <w:sz w:val="24"/>
        </w:rPr>
        <w:t>学分），毕业实习（</w:t>
      </w:r>
      <w:r>
        <w:rPr>
          <w:sz w:val="24"/>
        </w:rPr>
        <w:t>6</w:t>
      </w:r>
      <w:r>
        <w:rPr>
          <w:rFonts w:hint="eastAsia"/>
          <w:sz w:val="24"/>
        </w:rPr>
        <w:t>学分），毕业论文（</w:t>
      </w:r>
      <w:r>
        <w:rPr>
          <w:sz w:val="24"/>
        </w:rPr>
        <w:t>6</w:t>
      </w:r>
      <w:r>
        <w:rPr>
          <w:rFonts w:hint="eastAsia"/>
          <w:sz w:val="24"/>
        </w:rPr>
        <w:t>学分），社会实践（</w:t>
      </w:r>
      <w:r>
        <w:rPr>
          <w:sz w:val="24"/>
        </w:rPr>
        <w:t>2</w:t>
      </w:r>
      <w:r>
        <w:rPr>
          <w:rFonts w:hint="eastAsia"/>
          <w:sz w:val="24"/>
        </w:rPr>
        <w:t>学分）。其中毕业论文撰写安排在第</w:t>
      </w:r>
      <w:r>
        <w:rPr>
          <w:sz w:val="24"/>
        </w:rPr>
        <w:t>7-8</w:t>
      </w:r>
      <w:r>
        <w:rPr>
          <w:rFonts w:hint="eastAsia"/>
          <w:sz w:val="24"/>
        </w:rPr>
        <w:t>学期，毕业论文答辩安排在第</w:t>
      </w:r>
      <w:r>
        <w:rPr>
          <w:sz w:val="24"/>
        </w:rPr>
        <w:t>8</w:t>
      </w:r>
      <w:r>
        <w:rPr>
          <w:rFonts w:hint="eastAsia"/>
          <w:sz w:val="24"/>
        </w:rPr>
        <w:t>学期，社会实践安排在寒暑假。</w:t>
      </w:r>
    </w:p>
    <w:p>
      <w:pPr>
        <w:spacing w:before="66" w:line="312" w:lineRule="auto"/>
        <w:ind w:left="215" w:right="471" w:firstLine="480" w:firstLineChars="200"/>
        <w:jc w:val="both"/>
        <w:rPr>
          <w:sz w:val="24"/>
        </w:rPr>
      </w:pPr>
      <w:r>
        <w:rPr>
          <w:rFonts w:hint="eastAsia"/>
          <w:sz w:val="24"/>
        </w:rPr>
        <w:t>（</w:t>
      </w:r>
      <w:r>
        <w:rPr>
          <w:sz w:val="24"/>
        </w:rPr>
        <w:t>2</w:t>
      </w:r>
      <w:r>
        <w:rPr>
          <w:rFonts w:hint="eastAsia"/>
          <w:sz w:val="24"/>
        </w:rPr>
        <w:t>）本专业安排的</w:t>
      </w:r>
      <w:r>
        <w:rPr>
          <w:sz w:val="24"/>
        </w:rPr>
        <w:t>“</w:t>
      </w:r>
      <w:r>
        <w:rPr>
          <w:rFonts w:hint="eastAsia"/>
          <w:sz w:val="24"/>
        </w:rPr>
        <w:t>工学交替</w:t>
      </w:r>
      <w:r>
        <w:rPr>
          <w:sz w:val="24"/>
        </w:rPr>
        <w:t>”</w:t>
      </w:r>
      <w:r>
        <w:rPr>
          <w:rFonts w:hint="eastAsia"/>
          <w:sz w:val="24"/>
        </w:rPr>
        <w:t>实践教学环节为酒店专业综合实训，该实训包括三部分：酒店服务技能实训（</w:t>
      </w:r>
      <w:r>
        <w:rPr>
          <w:sz w:val="24"/>
        </w:rPr>
        <w:t>2</w:t>
      </w:r>
      <w:r>
        <w:rPr>
          <w:rFonts w:hint="eastAsia"/>
          <w:sz w:val="24"/>
        </w:rPr>
        <w:t>学分）、酒店督导实训（</w:t>
      </w:r>
      <w:r>
        <w:rPr>
          <w:sz w:val="24"/>
        </w:rPr>
        <w:t>2</w:t>
      </w:r>
      <w:r>
        <w:rPr>
          <w:rFonts w:hint="eastAsia"/>
          <w:sz w:val="24"/>
        </w:rPr>
        <w:t>学分）、酒店运营管理实训（</w:t>
      </w:r>
      <w:r>
        <w:rPr>
          <w:sz w:val="24"/>
        </w:rPr>
        <w:t>2</w:t>
      </w:r>
      <w:r>
        <w:rPr>
          <w:rFonts w:hint="eastAsia"/>
          <w:sz w:val="24"/>
        </w:rPr>
        <w:t>学分），共计</w:t>
      </w:r>
      <w:r>
        <w:rPr>
          <w:sz w:val="24"/>
        </w:rPr>
        <w:t>6</w:t>
      </w:r>
      <w:r>
        <w:rPr>
          <w:rFonts w:hint="eastAsia"/>
          <w:sz w:val="24"/>
        </w:rPr>
        <w:t>学分。酒店专业综合实训集中安排在第</w:t>
      </w:r>
      <w:r>
        <w:rPr>
          <w:sz w:val="24"/>
        </w:rPr>
        <w:t>6</w:t>
      </w:r>
      <w:r>
        <w:rPr>
          <w:rFonts w:hint="eastAsia"/>
          <w:sz w:val="24"/>
        </w:rPr>
        <w:t>学期，由学院统一安排在专业实习基地中边学边干。实训完毕后，将对学生进行综合考核，考核合格后给予相应学分。</w:t>
      </w:r>
    </w:p>
    <w:p>
      <w:pPr>
        <w:spacing w:before="66" w:line="312" w:lineRule="auto"/>
        <w:ind w:left="215" w:right="471" w:firstLine="480" w:firstLineChars="200"/>
        <w:jc w:val="both"/>
        <w:rPr>
          <w:sz w:val="24"/>
          <w:szCs w:val="24"/>
        </w:rPr>
      </w:pPr>
      <w:r>
        <w:rPr>
          <w:sz w:val="24"/>
          <w:szCs w:val="24"/>
        </w:rPr>
        <w:t> </w:t>
      </w:r>
    </w:p>
    <w:p>
      <w:pPr>
        <w:spacing w:before="66" w:line="312" w:lineRule="auto"/>
        <w:ind w:left="215" w:right="471" w:firstLine="480" w:firstLineChars="200"/>
        <w:jc w:val="both"/>
        <w:rPr>
          <w:sz w:val="24"/>
          <w:szCs w:val="24"/>
        </w:rPr>
      </w:pPr>
    </w:p>
    <w:p>
      <w:pPr>
        <w:spacing w:before="66" w:line="312" w:lineRule="auto"/>
        <w:ind w:left="215" w:right="471" w:firstLine="480" w:firstLineChars="200"/>
        <w:jc w:val="both"/>
        <w:rPr>
          <w:sz w:val="24"/>
          <w:szCs w:val="24"/>
        </w:rPr>
      </w:pPr>
    </w:p>
    <w:p>
      <w:pPr>
        <w:spacing w:line="312" w:lineRule="auto"/>
        <w:ind w:left="215" w:right="471" w:firstLine="482" w:firstLineChars="200"/>
        <w:jc w:val="both"/>
        <w:rPr>
          <w:b/>
          <w:sz w:val="24"/>
        </w:rPr>
      </w:pPr>
      <w:r>
        <w:rPr>
          <w:rFonts w:hint="eastAsia"/>
          <w:b/>
          <w:sz w:val="24"/>
        </w:rPr>
        <w:t>七、周数分配表</w:t>
      </w:r>
    </w:p>
    <w:tbl>
      <w:tblPr>
        <w:tblStyle w:val="11"/>
        <w:tblW w:w="841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31" w:type="dxa"/>
          <w:bottom w:w="0" w:type="dxa"/>
          <w:right w:w="131" w:type="dxa"/>
        </w:tblCellMar>
      </w:tblPr>
      <w:tblGrid>
        <w:gridCol w:w="1102"/>
        <w:gridCol w:w="682"/>
        <w:gridCol w:w="682"/>
        <w:gridCol w:w="682"/>
        <w:gridCol w:w="682"/>
        <w:gridCol w:w="682"/>
        <w:gridCol w:w="682"/>
        <w:gridCol w:w="682"/>
        <w:gridCol w:w="682"/>
        <w:gridCol w:w="1172"/>
        <w:gridCol w:w="68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567" w:hRule="atLeast"/>
          <w:jc w:val="center"/>
        </w:trPr>
        <w:tc>
          <w:tcPr>
            <w:tcW w:w="1102"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p>
            <w:pPr>
              <w:rPr>
                <w:rFonts w:ascii="Times New Roman" w:hAnsi="Times New Roman" w:cs="Times New Roman"/>
                <w:sz w:val="21"/>
                <w:szCs w:val="21"/>
              </w:rPr>
            </w:pPr>
            <w:r>
              <w:rPr>
                <w:rFonts w:ascii="Times New Roman" w:cs="Times New Roman"/>
                <w:sz w:val="21"/>
                <w:szCs w:val="21"/>
              </w:rPr>
              <w:t>学年学期</w:t>
            </w:r>
          </w:p>
        </w:tc>
        <w:tc>
          <w:tcPr>
            <w:tcW w:w="136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第一学年</w:t>
            </w:r>
          </w:p>
        </w:tc>
        <w:tc>
          <w:tcPr>
            <w:tcW w:w="136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第二学年</w:t>
            </w:r>
          </w:p>
        </w:tc>
        <w:tc>
          <w:tcPr>
            <w:tcW w:w="136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第三学年</w:t>
            </w:r>
          </w:p>
        </w:tc>
        <w:tc>
          <w:tcPr>
            <w:tcW w:w="136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第四学年</w:t>
            </w:r>
          </w:p>
        </w:tc>
        <w:tc>
          <w:tcPr>
            <w:tcW w:w="11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小学期</w:t>
            </w:r>
          </w:p>
        </w:tc>
        <w:tc>
          <w:tcPr>
            <w:tcW w:w="682"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合计</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567" w:hRule="atLeast"/>
          <w:jc w:val="center"/>
        </w:trPr>
        <w:tc>
          <w:tcPr>
            <w:tcW w:w="1102"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第</w:t>
            </w:r>
            <w:r>
              <w:rPr>
                <w:rFonts w:ascii="Times New Roman" w:hAnsi="Times New Roman" w:cs="Times New Roman"/>
                <w:sz w:val="21"/>
                <w:szCs w:val="21"/>
              </w:rPr>
              <w:t>1</w:t>
            </w:r>
          </w:p>
          <w:p>
            <w:pPr>
              <w:rPr>
                <w:rFonts w:ascii="Times New Roman" w:hAnsi="Times New Roman" w:cs="Times New Roman"/>
                <w:sz w:val="21"/>
                <w:szCs w:val="21"/>
              </w:rPr>
            </w:pPr>
            <w:r>
              <w:rPr>
                <w:rFonts w:ascii="Times New Roman" w:cs="Times New Roman"/>
                <w:sz w:val="21"/>
                <w:szCs w:val="21"/>
              </w:rPr>
              <w:t>学期</w:t>
            </w: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第</w:t>
            </w:r>
            <w:r>
              <w:rPr>
                <w:rFonts w:ascii="Times New Roman" w:hAnsi="Times New Roman" w:cs="Times New Roman"/>
                <w:sz w:val="21"/>
                <w:szCs w:val="21"/>
              </w:rPr>
              <w:t>2</w:t>
            </w:r>
          </w:p>
          <w:p>
            <w:pPr>
              <w:rPr>
                <w:rFonts w:ascii="Times New Roman" w:hAnsi="Times New Roman" w:cs="Times New Roman"/>
                <w:sz w:val="21"/>
                <w:szCs w:val="21"/>
              </w:rPr>
            </w:pPr>
            <w:r>
              <w:rPr>
                <w:rFonts w:ascii="Times New Roman" w:cs="Times New Roman"/>
                <w:sz w:val="21"/>
                <w:szCs w:val="21"/>
              </w:rPr>
              <w:t>学期</w:t>
            </w: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第</w:t>
            </w:r>
            <w:r>
              <w:rPr>
                <w:rFonts w:ascii="Times New Roman" w:hAnsi="Times New Roman" w:cs="Times New Roman"/>
                <w:sz w:val="21"/>
                <w:szCs w:val="21"/>
              </w:rPr>
              <w:t>3</w:t>
            </w:r>
          </w:p>
          <w:p>
            <w:pPr>
              <w:rPr>
                <w:rFonts w:ascii="Times New Roman" w:hAnsi="Times New Roman" w:cs="Times New Roman"/>
                <w:sz w:val="21"/>
                <w:szCs w:val="21"/>
              </w:rPr>
            </w:pPr>
            <w:r>
              <w:rPr>
                <w:rFonts w:ascii="Times New Roman" w:cs="Times New Roman"/>
                <w:sz w:val="21"/>
                <w:szCs w:val="21"/>
              </w:rPr>
              <w:t>学期</w:t>
            </w: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第</w:t>
            </w:r>
            <w:r>
              <w:rPr>
                <w:rFonts w:ascii="Times New Roman" w:hAnsi="Times New Roman" w:cs="Times New Roman"/>
                <w:sz w:val="21"/>
                <w:szCs w:val="21"/>
              </w:rPr>
              <w:t>4</w:t>
            </w:r>
          </w:p>
          <w:p>
            <w:pPr>
              <w:rPr>
                <w:rFonts w:ascii="Times New Roman" w:hAnsi="Times New Roman" w:cs="Times New Roman"/>
                <w:sz w:val="21"/>
                <w:szCs w:val="21"/>
              </w:rPr>
            </w:pPr>
            <w:r>
              <w:rPr>
                <w:rFonts w:ascii="Times New Roman" w:cs="Times New Roman"/>
                <w:sz w:val="21"/>
                <w:szCs w:val="21"/>
              </w:rPr>
              <w:t>学期</w:t>
            </w: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第</w:t>
            </w:r>
            <w:r>
              <w:rPr>
                <w:rFonts w:ascii="Times New Roman" w:hAnsi="Times New Roman" w:cs="Times New Roman"/>
                <w:sz w:val="21"/>
                <w:szCs w:val="21"/>
              </w:rPr>
              <w:t>5</w:t>
            </w:r>
          </w:p>
          <w:p>
            <w:pPr>
              <w:rPr>
                <w:rFonts w:ascii="Times New Roman" w:hAnsi="Times New Roman" w:cs="Times New Roman"/>
                <w:sz w:val="21"/>
                <w:szCs w:val="21"/>
              </w:rPr>
            </w:pPr>
            <w:r>
              <w:rPr>
                <w:rFonts w:ascii="Times New Roman" w:cs="Times New Roman"/>
                <w:sz w:val="21"/>
                <w:szCs w:val="21"/>
              </w:rPr>
              <w:t>学期</w:t>
            </w: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第</w:t>
            </w:r>
            <w:r>
              <w:rPr>
                <w:rFonts w:ascii="Times New Roman" w:hAnsi="Times New Roman" w:cs="Times New Roman"/>
                <w:sz w:val="21"/>
                <w:szCs w:val="21"/>
              </w:rPr>
              <w:t>6</w:t>
            </w:r>
          </w:p>
          <w:p>
            <w:pPr>
              <w:rPr>
                <w:rFonts w:ascii="Times New Roman" w:hAnsi="Times New Roman" w:cs="Times New Roman"/>
                <w:sz w:val="21"/>
                <w:szCs w:val="21"/>
              </w:rPr>
            </w:pPr>
            <w:r>
              <w:rPr>
                <w:rFonts w:ascii="Times New Roman" w:cs="Times New Roman"/>
                <w:sz w:val="21"/>
                <w:szCs w:val="21"/>
              </w:rPr>
              <w:t>学期</w:t>
            </w: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第</w:t>
            </w:r>
            <w:r>
              <w:rPr>
                <w:rFonts w:ascii="Times New Roman" w:hAnsi="Times New Roman" w:cs="Times New Roman"/>
                <w:sz w:val="21"/>
                <w:szCs w:val="21"/>
              </w:rPr>
              <w:t>7</w:t>
            </w:r>
          </w:p>
          <w:p>
            <w:pPr>
              <w:rPr>
                <w:rFonts w:ascii="Times New Roman" w:hAnsi="Times New Roman" w:cs="Times New Roman"/>
                <w:sz w:val="21"/>
                <w:szCs w:val="21"/>
              </w:rPr>
            </w:pPr>
            <w:r>
              <w:rPr>
                <w:rFonts w:ascii="Times New Roman" w:cs="Times New Roman"/>
                <w:sz w:val="21"/>
                <w:szCs w:val="21"/>
              </w:rPr>
              <w:t>学期</w:t>
            </w: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第</w:t>
            </w:r>
            <w:r>
              <w:rPr>
                <w:rFonts w:ascii="Times New Roman" w:hAnsi="Times New Roman" w:cs="Times New Roman"/>
                <w:sz w:val="21"/>
                <w:szCs w:val="21"/>
              </w:rPr>
              <w:t>8</w:t>
            </w:r>
          </w:p>
          <w:p>
            <w:pPr>
              <w:rPr>
                <w:rFonts w:ascii="Times New Roman" w:hAnsi="Times New Roman" w:cs="Times New Roman"/>
                <w:sz w:val="21"/>
                <w:szCs w:val="21"/>
              </w:rPr>
            </w:pPr>
            <w:r>
              <w:rPr>
                <w:rFonts w:ascii="Times New Roman" w:cs="Times New Roman"/>
                <w:sz w:val="21"/>
                <w:szCs w:val="21"/>
              </w:rPr>
              <w:t>学期</w:t>
            </w:r>
          </w:p>
        </w:tc>
        <w:tc>
          <w:tcPr>
            <w:tcW w:w="11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第</w:t>
            </w:r>
            <w:r>
              <w:rPr>
                <w:rFonts w:ascii="Times New Roman" w:hAnsi="Times New Roman" w:cs="Times New Roman"/>
                <w:sz w:val="21"/>
                <w:szCs w:val="21"/>
              </w:rPr>
              <w:t>2-7</w:t>
            </w:r>
            <w:r>
              <w:rPr>
                <w:rFonts w:ascii="Times New Roman" w:cs="Times New Roman"/>
                <w:sz w:val="21"/>
                <w:szCs w:val="21"/>
              </w:rPr>
              <w:t>学期</w:t>
            </w:r>
          </w:p>
        </w:tc>
        <w:tc>
          <w:tcPr>
            <w:tcW w:w="682"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567" w:hRule="atLeast"/>
          <w:jc w:val="center"/>
        </w:trPr>
        <w:tc>
          <w:tcPr>
            <w:tcW w:w="110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周数</w:t>
            </w: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20</w:t>
            </w: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20</w:t>
            </w: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20</w:t>
            </w: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20</w:t>
            </w: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20</w:t>
            </w: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20</w:t>
            </w: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20</w:t>
            </w: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Times New Roman" w:hAnsi="Times New Roman" w:eastAsia="宋体" w:cs="Times New Roman"/>
                <w:sz w:val="21"/>
                <w:szCs w:val="21"/>
                <w:lang w:eastAsia="zh-CN"/>
              </w:rPr>
            </w:pPr>
            <w:r>
              <w:rPr>
                <w:rFonts w:ascii="Times New Roman" w:hAnsi="Times New Roman" w:cs="Times New Roman"/>
                <w:sz w:val="21"/>
                <w:szCs w:val="21"/>
              </w:rPr>
              <w:t>1</w:t>
            </w:r>
            <w:r>
              <w:rPr>
                <w:rFonts w:hint="eastAsia" w:ascii="Times New Roman" w:hAnsi="Times New Roman" w:cs="Times New Roman"/>
                <w:sz w:val="21"/>
                <w:szCs w:val="21"/>
                <w:lang w:val="en-US" w:eastAsia="zh-CN"/>
              </w:rPr>
              <w:t>4</w:t>
            </w:r>
          </w:p>
        </w:tc>
        <w:tc>
          <w:tcPr>
            <w:tcW w:w="11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约</w:t>
            </w:r>
            <w:r>
              <w:rPr>
                <w:rFonts w:ascii="Times New Roman" w:hAnsi="Times New Roman" w:cs="Times New Roman"/>
                <w:sz w:val="21"/>
                <w:szCs w:val="21"/>
              </w:rPr>
              <w:t>6</w:t>
            </w:r>
            <w:r>
              <w:rPr>
                <w:rFonts w:ascii="Times New Roman" w:cs="Times New Roman"/>
                <w:sz w:val="21"/>
                <w:szCs w:val="21"/>
              </w:rPr>
              <w:t>周</w:t>
            </w:r>
          </w:p>
        </w:tc>
        <w:tc>
          <w:tcPr>
            <w:tcW w:w="68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Times New Roman" w:hAnsi="Times New Roman" w:eastAsia="宋体" w:cs="Times New Roman"/>
                <w:sz w:val="21"/>
                <w:szCs w:val="21"/>
                <w:lang w:eastAsia="zh-CN"/>
              </w:rPr>
            </w:pPr>
            <w:r>
              <w:rPr>
                <w:rFonts w:ascii="Times New Roman" w:hAnsi="Times New Roman" w:cs="Times New Roman"/>
                <w:sz w:val="21"/>
                <w:szCs w:val="21"/>
              </w:rPr>
              <w:t>16</w:t>
            </w:r>
            <w:r>
              <w:rPr>
                <w:rFonts w:hint="eastAsia" w:ascii="Times New Roman" w:hAnsi="Times New Roman" w:cs="Times New Roman"/>
                <w:sz w:val="21"/>
                <w:szCs w:val="21"/>
                <w:lang w:val="en-US" w:eastAsia="zh-CN"/>
              </w:rPr>
              <w:t>0</w:t>
            </w:r>
          </w:p>
        </w:tc>
      </w:tr>
    </w:tbl>
    <w:p>
      <w:pPr>
        <w:spacing w:line="312" w:lineRule="auto"/>
        <w:ind w:left="215" w:right="471" w:firstLine="482" w:firstLineChars="200"/>
        <w:jc w:val="both"/>
        <w:rPr>
          <w:b/>
          <w:sz w:val="24"/>
        </w:rPr>
      </w:pPr>
      <w:r>
        <w:rPr>
          <w:rFonts w:hint="eastAsia"/>
          <w:b/>
          <w:sz w:val="24"/>
        </w:rPr>
        <w:t>八、学期教学进程表</w:t>
      </w:r>
    </w:p>
    <w:tbl>
      <w:tblPr>
        <w:tblStyle w:val="11"/>
        <w:tblW w:w="597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9" w:type="dxa"/>
          <w:bottom w:w="0" w:type="dxa"/>
          <w:right w:w="19" w:type="dxa"/>
        </w:tblCellMar>
      </w:tblPr>
      <w:tblGrid>
        <w:gridCol w:w="51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9" w:type="dxa"/>
            <w:bottom w:w="0" w:type="dxa"/>
            <w:right w:w="19" w:type="dxa"/>
          </w:tblCellMar>
        </w:tblPrEx>
        <w:trPr>
          <w:trHeight w:val="320" w:hRule="atLeast"/>
          <w:jc w:val="center"/>
        </w:trPr>
        <w:tc>
          <w:tcPr>
            <w:tcW w:w="51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学期</w:t>
            </w:r>
          </w:p>
          <w:p>
            <w:pPr>
              <w:rPr>
                <w:rFonts w:ascii="Times New Roman" w:hAnsi="Times New Roman" w:cs="Times New Roman"/>
                <w:sz w:val="21"/>
                <w:szCs w:val="21"/>
              </w:rPr>
            </w:pPr>
            <w:r>
              <w:rPr>
                <w:rFonts w:ascii="Times New Roman" w:hAnsi="Times New Roman" w:cs="Times New Roman"/>
                <w:b/>
                <w:sz w:val="21"/>
                <w:szCs w:val="21"/>
              </w:rPr>
              <w:t>/</w:t>
            </w:r>
            <w:r>
              <w:rPr>
                <w:rFonts w:ascii="Times New Roman" w:cs="Times New Roman"/>
                <w:b/>
                <w:sz w:val="21"/>
                <w:szCs w:val="21"/>
              </w:rPr>
              <w:t>周次</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1</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2</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4</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5</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6</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7</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8</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9</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10</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11</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12</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13</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14</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15</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16</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17</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18</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19</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20</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21</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22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9" w:type="dxa"/>
            <w:bottom w:w="0" w:type="dxa"/>
            <w:right w:w="19" w:type="dxa"/>
          </w:tblCellMar>
        </w:tblPrEx>
        <w:trPr>
          <w:trHeight w:val="320" w:hRule="atLeast"/>
          <w:jc w:val="center"/>
        </w:trPr>
        <w:tc>
          <w:tcPr>
            <w:tcW w:w="51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一</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9" w:type="dxa"/>
            <w:bottom w:w="0" w:type="dxa"/>
            <w:right w:w="19" w:type="dxa"/>
          </w:tblCellMar>
        </w:tblPrEx>
        <w:trPr>
          <w:trHeight w:val="320" w:hRule="atLeast"/>
          <w:jc w:val="center"/>
        </w:trPr>
        <w:tc>
          <w:tcPr>
            <w:tcW w:w="51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二</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9" w:type="dxa"/>
            <w:bottom w:w="0" w:type="dxa"/>
            <w:right w:w="19" w:type="dxa"/>
          </w:tblCellMar>
        </w:tblPrEx>
        <w:trPr>
          <w:trHeight w:val="320" w:hRule="atLeast"/>
          <w:jc w:val="center"/>
        </w:trPr>
        <w:tc>
          <w:tcPr>
            <w:tcW w:w="51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三</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9" w:type="dxa"/>
            <w:bottom w:w="0" w:type="dxa"/>
            <w:right w:w="19" w:type="dxa"/>
          </w:tblCellMar>
        </w:tblPrEx>
        <w:trPr>
          <w:trHeight w:val="320" w:hRule="atLeast"/>
          <w:jc w:val="center"/>
        </w:trPr>
        <w:tc>
          <w:tcPr>
            <w:tcW w:w="51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四</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9" w:type="dxa"/>
            <w:bottom w:w="0" w:type="dxa"/>
            <w:right w:w="19" w:type="dxa"/>
          </w:tblCellMar>
        </w:tblPrEx>
        <w:trPr>
          <w:trHeight w:val="320" w:hRule="atLeast"/>
          <w:jc w:val="center"/>
        </w:trPr>
        <w:tc>
          <w:tcPr>
            <w:tcW w:w="51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pict>
                <v:group id="_x0000_s1056" o:spid="_x0000_s1056" o:spt="203" style="position:absolute;left:0pt;margin-left:-95.85pt;margin-top:-246.65pt;height:719pt;width:479.15pt;mso-position-horizontal-relative:page;z-index:-253509632;mso-width-relative:page;mso-height-relative:page;" coordorigin="1306,56" coordsize="9583,12672">
                  <o:lock v:ext="edit" aspectratio="f"/>
                  <v:rect id="_x0000_s1057" o:spid="_x0000_s1057" o:spt="1" style="position:absolute;left:1306;top:56;height:10;width:10;" fillcolor="#000000" filled="t" stroked="f" coordsize="21600,21600">
                    <v:path/>
                    <v:fill on="t" color2="#FFFFFF" focussize="0,0"/>
                    <v:stroke on="f"/>
                    <v:imagedata o:title=""/>
                    <o:lock v:ext="edit" aspectratio="f"/>
                  </v:rect>
                  <v:line id="_x0000_s1058" o:spid="_x0000_s1058" o:spt="20" style="position:absolute;left:1316;top:61;height:0;width:9563;" filled="f" stroked="t" coordsize="21600,21600">
                    <v:path arrowok="t"/>
                    <v:fill on="f" focussize="0,0"/>
                    <v:stroke weight="0.48pt" color="#000000"/>
                    <v:imagedata o:title=""/>
                    <o:lock v:ext="edit" aspectratio="f"/>
                  </v:line>
                  <v:rect id="_x0000_s1059" o:spid="_x0000_s1059" o:spt="1" style="position:absolute;left:10879;top:56;height:10;width:10;" fillcolor="#000000" filled="t" stroked="f" coordsize="21600,21600">
                    <v:path/>
                    <v:fill on="t" color2="#FFFFFF" focussize="0,0"/>
                    <v:stroke on="f"/>
                    <v:imagedata o:title=""/>
                    <o:lock v:ext="edit" aspectratio="f"/>
                  </v:rect>
                  <v:line id="_x0000_s1060" o:spid="_x0000_s1060" o:spt="20" style="position:absolute;left:1311;top:66;height:12662;width:0;" filled="f" stroked="t" coordsize="21600,21600">
                    <v:path arrowok="t"/>
                    <v:fill on="f" focussize="0,0"/>
                    <v:stroke weight="0.48pt" color="#000000"/>
                    <v:imagedata o:title=""/>
                    <o:lock v:ext="edit" aspectratio="f"/>
                  </v:line>
                  <v:line id="_x0000_s1061" o:spid="_x0000_s1061" o:spt="20" style="position:absolute;left:1316;top:12723;height:0;width:9563;" filled="f" stroked="t" coordsize="21600,21600">
                    <v:path arrowok="t"/>
                    <v:fill on="f" focussize="0,0"/>
                    <v:stroke weight="0.48007874015748pt" color="#000000"/>
                    <v:imagedata o:title=""/>
                    <o:lock v:ext="edit" aspectratio="f"/>
                  </v:line>
                  <v:line id="_x0000_s1062" o:spid="_x0000_s1062" o:spt="20" style="position:absolute;left:10884;top:66;height:12662;width:0;" filled="f" stroked="t" coordsize="21600,21600">
                    <v:path arrowok="t"/>
                    <v:fill on="f" focussize="0,0"/>
                    <v:stroke weight="0.48pt" color="#000000"/>
                    <v:imagedata o:title=""/>
                    <o:lock v:ext="edit" aspectratio="f"/>
                  </v:line>
                </v:group>
              </w:pict>
            </w:r>
            <w:r>
              <w:rPr>
                <w:rFonts w:ascii="Times New Roman" w:cs="Times New Roman"/>
                <w:sz w:val="21"/>
                <w:szCs w:val="21"/>
              </w:rPr>
              <w:t>五</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9" w:type="dxa"/>
            <w:bottom w:w="0" w:type="dxa"/>
            <w:right w:w="19" w:type="dxa"/>
          </w:tblCellMar>
        </w:tblPrEx>
        <w:trPr>
          <w:trHeight w:val="320" w:hRule="atLeast"/>
          <w:jc w:val="center"/>
        </w:trPr>
        <w:tc>
          <w:tcPr>
            <w:tcW w:w="51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六</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p>
            <w:pPr>
              <w:rPr>
                <w:rFonts w:ascii="Times New Roman" w:hAnsi="Times New Roman" w:cs="Times New Roman"/>
                <w:sz w:val="21"/>
                <w:szCs w:val="21"/>
              </w:rPr>
            </w:pPr>
            <w:r>
              <w:rPr>
                <w:rFonts w:ascii="Times New Roman" w:cs="Times New Roman"/>
                <w:sz w:val="21"/>
                <w:szCs w:val="21"/>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9" w:type="dxa"/>
            <w:bottom w:w="0" w:type="dxa"/>
            <w:right w:w="19" w:type="dxa"/>
          </w:tblCellMar>
        </w:tblPrEx>
        <w:trPr>
          <w:trHeight w:val="320" w:hRule="atLeast"/>
          <w:jc w:val="center"/>
        </w:trPr>
        <w:tc>
          <w:tcPr>
            <w:tcW w:w="51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七</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9" w:type="dxa"/>
            <w:bottom w:w="0" w:type="dxa"/>
            <w:right w:w="19" w:type="dxa"/>
          </w:tblCellMar>
        </w:tblPrEx>
        <w:trPr>
          <w:trHeight w:val="320" w:hRule="atLeast"/>
          <w:jc w:val="center"/>
        </w:trPr>
        <w:tc>
          <w:tcPr>
            <w:tcW w:w="51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八</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24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744"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bl>
    <w:p>
      <w:pPr>
        <w:ind w:left="440" w:leftChars="200" w:right="440" w:rightChars="200"/>
        <w:rPr>
          <w:sz w:val="18"/>
          <w:szCs w:val="18"/>
        </w:rPr>
      </w:pPr>
      <w:r>
        <w:rPr>
          <w:rFonts w:hint="eastAsia"/>
          <w:sz w:val="18"/>
          <w:szCs w:val="18"/>
        </w:rPr>
        <w:t>符号说明：</w:t>
      </w:r>
    </w:p>
    <w:p>
      <w:pPr>
        <w:ind w:left="440" w:leftChars="200" w:right="440" w:rightChars="200"/>
        <w:rPr>
          <w:sz w:val="18"/>
          <w:szCs w:val="18"/>
        </w:rPr>
      </w:pPr>
      <w:r>
        <w:rPr>
          <w:rFonts w:hint="eastAsia"/>
          <w:sz w:val="18"/>
          <w:szCs w:val="18"/>
        </w:rPr>
        <w:t>★军训及入学教育</w:t>
      </w:r>
      <w:r>
        <w:rPr>
          <w:sz w:val="18"/>
          <w:szCs w:val="18"/>
        </w:rPr>
        <w:t>—</w:t>
      </w:r>
      <w:r>
        <w:rPr>
          <w:rFonts w:hint="eastAsia"/>
          <w:sz w:val="18"/>
          <w:szCs w:val="18"/>
        </w:rPr>
        <w:t>课程教学（含考试）＋假期教学活动※中期实训</w:t>
      </w:r>
    </w:p>
    <w:p>
      <w:pPr>
        <w:ind w:left="440" w:leftChars="200" w:right="440" w:rightChars="200"/>
        <w:rPr>
          <w:sz w:val="18"/>
          <w:szCs w:val="18"/>
        </w:rPr>
      </w:pPr>
      <w:r>
        <w:rPr>
          <w:rFonts w:hint="eastAsia"/>
          <w:sz w:val="18"/>
          <w:szCs w:val="18"/>
        </w:rPr>
        <w:t>◎毕业实习</w:t>
      </w:r>
      <w:r>
        <w:rPr>
          <w:sz w:val="18"/>
          <w:szCs w:val="18"/>
        </w:rPr>
        <w:t xml:space="preserve">● </w:t>
      </w:r>
      <w:r>
        <w:rPr>
          <w:rFonts w:hint="eastAsia"/>
          <w:sz w:val="18"/>
          <w:szCs w:val="18"/>
        </w:rPr>
        <w:t>毕业论文（设计）</w:t>
      </w:r>
      <w:r>
        <w:rPr>
          <w:rFonts w:ascii="Arial" w:hAnsi="Arial" w:cs="Arial"/>
          <w:sz w:val="18"/>
          <w:szCs w:val="18"/>
        </w:rPr>
        <w:t>▲</w:t>
      </w:r>
      <w:r>
        <w:rPr>
          <w:rFonts w:ascii="Calibri" w:hAnsi="Calibri" w:cs="Calibri"/>
          <w:sz w:val="18"/>
          <w:szCs w:val="18"/>
        </w:rPr>
        <w:t xml:space="preserve"> </w:t>
      </w:r>
      <w:r>
        <w:rPr>
          <w:rFonts w:hint="eastAsia"/>
          <w:sz w:val="18"/>
          <w:szCs w:val="18"/>
        </w:rPr>
        <w:t>离校教育</w:t>
      </w:r>
    </w:p>
    <w:p>
      <w:pPr>
        <w:ind w:left="440" w:leftChars="200" w:right="440" w:rightChars="200"/>
        <w:rPr>
          <w:sz w:val="18"/>
          <w:szCs w:val="18"/>
        </w:rPr>
      </w:pPr>
      <w:r>
        <w:rPr>
          <w:rFonts w:hint="eastAsia"/>
          <w:sz w:val="18"/>
          <w:szCs w:val="18"/>
        </w:rPr>
        <w:t>注：第</w:t>
      </w:r>
      <w:r>
        <w:rPr>
          <w:sz w:val="18"/>
          <w:szCs w:val="18"/>
        </w:rPr>
        <w:t>6</w:t>
      </w:r>
      <w:r>
        <w:rPr>
          <w:rFonts w:hint="eastAsia"/>
          <w:sz w:val="18"/>
          <w:szCs w:val="18"/>
        </w:rPr>
        <w:t>学期开设酒店专业综合实训，包含三个课程模块，放在实训基地进行实践教学。具体三个模块为《酒店服务技能》实训、《酒店运营管理》实训及《酒店督导》实训，学生采取干中学方式，考核合格后取得相应学分。</w:t>
      </w:r>
    </w:p>
    <w:p>
      <w:pPr>
        <w:pStyle w:val="2"/>
        <w:spacing w:before="0" w:after="0" w:line="240" w:lineRule="auto"/>
        <w:ind w:firstLine="562" w:firstLineChars="200"/>
        <w:rPr>
          <w:sz w:val="28"/>
          <w:szCs w:val="28"/>
        </w:rPr>
      </w:pPr>
      <w:r>
        <w:rPr>
          <w:sz w:val="28"/>
          <w:szCs w:val="28"/>
        </w:rPr>
        <w:t>  </w:t>
      </w:r>
    </w:p>
    <w:p>
      <w:pPr>
        <w:spacing w:line="312" w:lineRule="auto"/>
        <w:ind w:left="215" w:right="471" w:firstLine="482" w:firstLineChars="200"/>
        <w:jc w:val="both"/>
        <w:rPr>
          <w:b/>
          <w:sz w:val="24"/>
        </w:rPr>
      </w:pPr>
      <w:r>
        <w:rPr>
          <w:rFonts w:hint="eastAsia"/>
          <w:b/>
          <w:sz w:val="24"/>
        </w:rPr>
        <w:t>九、学分统计表</w:t>
      </w:r>
    </w:p>
    <w:tbl>
      <w:tblPr>
        <w:tblStyle w:val="11"/>
        <w:tblW w:w="673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31" w:type="dxa"/>
          <w:bottom w:w="0" w:type="dxa"/>
          <w:right w:w="131" w:type="dxa"/>
        </w:tblCellMar>
      </w:tblPr>
      <w:tblGrid>
        <w:gridCol w:w="1942"/>
        <w:gridCol w:w="1106"/>
        <w:gridCol w:w="1106"/>
        <w:gridCol w:w="1268"/>
        <w:gridCol w:w="131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430" w:hRule="atLeast"/>
          <w:jc w:val="center"/>
        </w:trPr>
        <w:tc>
          <w:tcPr>
            <w:tcW w:w="1942"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课程类型</w:t>
            </w:r>
          </w:p>
        </w:tc>
        <w:tc>
          <w:tcPr>
            <w:tcW w:w="2212"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学分</w:t>
            </w:r>
          </w:p>
        </w:tc>
        <w:tc>
          <w:tcPr>
            <w:tcW w:w="2581"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学分占总学分比例（</w:t>
            </w:r>
            <w:r>
              <w:rPr>
                <w:rFonts w:ascii="Times New Roman" w:hAnsi="Times New Roman" w:cs="Times New Roman"/>
                <w:b/>
                <w:sz w:val="21"/>
                <w:szCs w:val="21"/>
              </w:rPr>
              <w:t>%</w:t>
            </w:r>
            <w:r>
              <w:rPr>
                <w:rFonts w:ascii="Times New Roman" w:cs="Times New Roman"/>
                <w:b/>
                <w:sz w:val="21"/>
                <w:szCs w:val="21"/>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430" w:hRule="atLeast"/>
          <w:jc w:val="center"/>
        </w:trPr>
        <w:tc>
          <w:tcPr>
            <w:tcW w:w="1942"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10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课堂教学</w:t>
            </w:r>
          </w:p>
        </w:tc>
        <w:tc>
          <w:tcPr>
            <w:tcW w:w="110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实践教学</w:t>
            </w:r>
          </w:p>
        </w:tc>
        <w:tc>
          <w:tcPr>
            <w:tcW w:w="126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课堂教学</w:t>
            </w:r>
          </w:p>
        </w:tc>
        <w:tc>
          <w:tcPr>
            <w:tcW w:w="1313"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rPr>
            </w:pPr>
            <w:r>
              <w:rPr>
                <w:rFonts w:ascii="Times New Roman" w:cs="Times New Roman"/>
                <w:b/>
              </w:rPr>
              <w:t>实践教学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430" w:hRule="atLeast"/>
          <w:jc w:val="center"/>
        </w:trPr>
        <w:tc>
          <w:tcPr>
            <w:tcW w:w="194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一、通识必修课程</w:t>
            </w:r>
          </w:p>
        </w:tc>
        <w:tc>
          <w:tcPr>
            <w:tcW w:w="110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47</w:t>
            </w:r>
          </w:p>
        </w:tc>
        <w:tc>
          <w:tcPr>
            <w:tcW w:w="110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4</w:t>
            </w:r>
          </w:p>
        </w:tc>
        <w:tc>
          <w:tcPr>
            <w:tcW w:w="126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xml:space="preserve">29.4 </w:t>
            </w:r>
          </w:p>
        </w:tc>
        <w:tc>
          <w:tcPr>
            <w:tcW w:w="1313"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rPr>
            </w:pPr>
            <w:r>
              <w:rPr>
                <w:rFonts w:ascii="Times New Roman" w:hAnsi="Times New Roman" w:cs="Times New Roma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430" w:hRule="atLeast"/>
          <w:jc w:val="center"/>
        </w:trPr>
        <w:tc>
          <w:tcPr>
            <w:tcW w:w="194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二、通识选修课程</w:t>
            </w:r>
          </w:p>
        </w:tc>
        <w:tc>
          <w:tcPr>
            <w:tcW w:w="110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18</w:t>
            </w:r>
          </w:p>
        </w:tc>
        <w:tc>
          <w:tcPr>
            <w:tcW w:w="110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0</w:t>
            </w:r>
          </w:p>
        </w:tc>
        <w:tc>
          <w:tcPr>
            <w:tcW w:w="126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11.3</w:t>
            </w:r>
          </w:p>
        </w:tc>
        <w:tc>
          <w:tcPr>
            <w:tcW w:w="1313"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rPr>
            </w:pPr>
            <w:r>
              <w:rPr>
                <w:rFonts w:ascii="Times New Roman" w:hAnsi="Times New Roman" w:cs="Times New Roman"/>
              </w:rPr>
              <w:t xml:space="preserve">0.0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430" w:hRule="atLeast"/>
          <w:jc w:val="center"/>
        </w:trPr>
        <w:tc>
          <w:tcPr>
            <w:tcW w:w="194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三、专业基础课程</w:t>
            </w:r>
          </w:p>
        </w:tc>
        <w:tc>
          <w:tcPr>
            <w:tcW w:w="110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21</w:t>
            </w:r>
          </w:p>
        </w:tc>
        <w:tc>
          <w:tcPr>
            <w:tcW w:w="110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0</w:t>
            </w:r>
          </w:p>
        </w:tc>
        <w:tc>
          <w:tcPr>
            <w:tcW w:w="126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13.1</w:t>
            </w:r>
          </w:p>
        </w:tc>
        <w:tc>
          <w:tcPr>
            <w:tcW w:w="1313"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rPr>
            </w:pPr>
            <w:r>
              <w:rPr>
                <w:rFonts w:ascii="Times New Roman" w:hAnsi="Times New Roman" w:cs="Times New Roman"/>
              </w:rPr>
              <w:t xml:space="preserve">0.0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430" w:hRule="atLeast"/>
          <w:jc w:val="center"/>
        </w:trPr>
        <w:tc>
          <w:tcPr>
            <w:tcW w:w="194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四、专业必修课程</w:t>
            </w:r>
          </w:p>
        </w:tc>
        <w:tc>
          <w:tcPr>
            <w:tcW w:w="110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22</w:t>
            </w:r>
          </w:p>
        </w:tc>
        <w:tc>
          <w:tcPr>
            <w:tcW w:w="110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26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xml:space="preserve">13.8 </w:t>
            </w:r>
          </w:p>
        </w:tc>
        <w:tc>
          <w:tcPr>
            <w:tcW w:w="1313"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rPr>
            </w:pPr>
            <w:r>
              <w:rPr>
                <w:rFonts w:ascii="Times New Roman" w:hAnsi="Times New Roman" w:cs="Times New Roman"/>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430" w:hRule="atLeast"/>
          <w:jc w:val="center"/>
        </w:trPr>
        <w:tc>
          <w:tcPr>
            <w:tcW w:w="194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五、专业选修课程</w:t>
            </w:r>
          </w:p>
        </w:tc>
        <w:tc>
          <w:tcPr>
            <w:tcW w:w="110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22</w:t>
            </w:r>
          </w:p>
        </w:tc>
        <w:tc>
          <w:tcPr>
            <w:tcW w:w="110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0</w:t>
            </w:r>
          </w:p>
        </w:tc>
        <w:tc>
          <w:tcPr>
            <w:tcW w:w="126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xml:space="preserve">13.8 </w:t>
            </w:r>
          </w:p>
        </w:tc>
        <w:tc>
          <w:tcPr>
            <w:tcW w:w="1313"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rPr>
            </w:pPr>
            <w:r>
              <w:rPr>
                <w:rFonts w:ascii="Times New Roman" w:hAnsi="Times New Roman" w:cs="Times New Roman"/>
              </w:rPr>
              <w:t xml:space="preserve">0.0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430" w:hRule="atLeast"/>
          <w:jc w:val="center"/>
        </w:trPr>
        <w:tc>
          <w:tcPr>
            <w:tcW w:w="194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六、实践与实验课</w:t>
            </w:r>
          </w:p>
        </w:tc>
        <w:tc>
          <w:tcPr>
            <w:tcW w:w="110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0</w:t>
            </w:r>
          </w:p>
        </w:tc>
        <w:tc>
          <w:tcPr>
            <w:tcW w:w="110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24</w:t>
            </w:r>
          </w:p>
        </w:tc>
        <w:tc>
          <w:tcPr>
            <w:tcW w:w="126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xml:space="preserve">0.0 </w:t>
            </w:r>
          </w:p>
        </w:tc>
        <w:tc>
          <w:tcPr>
            <w:tcW w:w="1313"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rPr>
            </w:pPr>
            <w:r>
              <w:rPr>
                <w:rFonts w:ascii="Times New Roman" w:hAnsi="Times New Roman" w:cs="Times New Roma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430" w:hRule="atLeast"/>
          <w:jc w:val="center"/>
        </w:trPr>
        <w:tc>
          <w:tcPr>
            <w:tcW w:w="194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小计</w:t>
            </w:r>
          </w:p>
        </w:tc>
        <w:tc>
          <w:tcPr>
            <w:tcW w:w="110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130</w:t>
            </w:r>
          </w:p>
        </w:tc>
        <w:tc>
          <w:tcPr>
            <w:tcW w:w="110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30</w:t>
            </w:r>
          </w:p>
        </w:tc>
        <w:tc>
          <w:tcPr>
            <w:tcW w:w="126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81.2</w:t>
            </w:r>
          </w:p>
        </w:tc>
        <w:tc>
          <w:tcPr>
            <w:tcW w:w="1313"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rPr>
            </w:pPr>
            <w:r>
              <w:rPr>
                <w:rFonts w:ascii="Times New Roman" w:hAnsi="Times New Roman" w:cs="Times New Roman"/>
              </w:rPr>
              <w:t>18.8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430" w:hRule="atLeast"/>
          <w:jc w:val="center"/>
        </w:trPr>
        <w:tc>
          <w:tcPr>
            <w:tcW w:w="194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合计</w:t>
            </w:r>
          </w:p>
        </w:tc>
        <w:tc>
          <w:tcPr>
            <w:tcW w:w="2212"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160</w:t>
            </w:r>
          </w:p>
        </w:tc>
        <w:tc>
          <w:tcPr>
            <w:tcW w:w="2581"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100</w:t>
            </w:r>
          </w:p>
        </w:tc>
      </w:tr>
    </w:tbl>
    <w:p>
      <w:r>
        <w:t>  </w:t>
      </w:r>
    </w:p>
    <w:p/>
    <w:p/>
    <w:p/>
    <w:p/>
    <w:p>
      <w:pPr>
        <w:pStyle w:val="2"/>
        <w:spacing w:before="0" w:after="0" w:line="240" w:lineRule="auto"/>
        <w:ind w:firstLine="562" w:firstLineChars="200"/>
        <w:rPr>
          <w:sz w:val="28"/>
          <w:szCs w:val="28"/>
        </w:rPr>
      </w:pPr>
    </w:p>
    <w:p>
      <w:pPr>
        <w:spacing w:line="312" w:lineRule="auto"/>
        <w:ind w:left="215" w:right="471" w:firstLine="482" w:firstLineChars="200"/>
        <w:jc w:val="both"/>
        <w:rPr>
          <w:b/>
          <w:sz w:val="24"/>
        </w:rPr>
      </w:pPr>
      <w:r>
        <w:rPr>
          <w:rFonts w:hint="eastAsia"/>
          <w:b/>
          <w:sz w:val="24"/>
        </w:rPr>
        <w:t>十、课程体系与教学总体规划表</w:t>
      </w:r>
    </w:p>
    <w:tbl>
      <w:tblPr>
        <w:tblStyle w:val="11"/>
        <w:tblW w:w="908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31" w:type="dxa"/>
          <w:bottom w:w="0" w:type="dxa"/>
          <w:right w:w="131" w:type="dxa"/>
        </w:tblCellMar>
      </w:tblPr>
      <w:tblGrid>
        <w:gridCol w:w="801"/>
        <w:gridCol w:w="555"/>
        <w:gridCol w:w="1165"/>
        <w:gridCol w:w="539"/>
        <w:gridCol w:w="357"/>
        <w:gridCol w:w="2871"/>
        <w:gridCol w:w="962"/>
        <w:gridCol w:w="1009"/>
        <w:gridCol w:w="82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课程类别</w:t>
            </w:r>
          </w:p>
          <w:p>
            <w:pPr>
              <w:rPr>
                <w:rFonts w:ascii="Times New Roman" w:hAnsi="Times New Roman" w:cs="Times New Roman"/>
                <w:sz w:val="21"/>
                <w:szCs w:val="21"/>
              </w:rPr>
            </w:pPr>
            <w:r>
              <w:rPr>
                <w:rFonts w:ascii="Times New Roman" w:hAnsi="Times New Roman" w:cs="Times New Roman"/>
                <w:b/>
                <w:sz w:val="21"/>
                <w:szCs w:val="21"/>
              </w:rPr>
              <w:t>Type of Course</w:t>
            </w: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课程代码</w:t>
            </w:r>
          </w:p>
          <w:p>
            <w:pPr>
              <w:rPr>
                <w:rFonts w:ascii="Times New Roman" w:hAnsi="Times New Roman" w:cs="Times New Roman"/>
                <w:sz w:val="21"/>
                <w:szCs w:val="21"/>
              </w:rPr>
            </w:pPr>
            <w:r>
              <w:rPr>
                <w:rFonts w:ascii="Times New Roman" w:hAnsi="Times New Roman" w:cs="Times New Roman"/>
                <w:b/>
                <w:sz w:val="21"/>
                <w:szCs w:val="21"/>
              </w:rPr>
              <w:t>Course Code</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课程名称</w:t>
            </w:r>
          </w:p>
          <w:p>
            <w:pPr>
              <w:rPr>
                <w:rFonts w:ascii="Times New Roman" w:hAnsi="Times New Roman" w:cs="Times New Roman"/>
                <w:sz w:val="21"/>
                <w:szCs w:val="21"/>
              </w:rPr>
            </w:pPr>
            <w:r>
              <w:rPr>
                <w:rFonts w:ascii="Times New Roman" w:hAnsi="Times New Roman" w:cs="Times New Roman"/>
                <w:b/>
                <w:sz w:val="21"/>
                <w:szCs w:val="21"/>
              </w:rPr>
              <w:t>Name of Course</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学分</w:t>
            </w:r>
            <w:r>
              <w:rPr>
                <w:rFonts w:ascii="Times New Roman" w:hAnsi="Times New Roman" w:cs="Times New Roman"/>
                <w:b/>
                <w:sz w:val="21"/>
                <w:szCs w:val="21"/>
              </w:rPr>
              <w:t>Credit</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学时</w:t>
            </w:r>
            <w:r>
              <w:rPr>
                <w:rFonts w:ascii="Times New Roman" w:hAnsi="Times New Roman" w:cs="Times New Roman"/>
                <w:b/>
                <w:sz w:val="21"/>
                <w:szCs w:val="21"/>
              </w:rPr>
              <w:t>Hours</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开课学</w:t>
            </w:r>
            <w:r>
              <w:rPr>
                <w:rFonts w:ascii="Times New Roman" w:hAnsi="Times New Roman" w:cs="Times New Roman"/>
                <w:b/>
                <w:sz w:val="21"/>
                <w:szCs w:val="21"/>
              </w:rPr>
              <w:t>Semester</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通识</w:t>
            </w:r>
            <w:r>
              <w:rPr>
                <w:rFonts w:ascii="Times New Roman" w:hAnsi="Times New Roman" w:cs="Times New Roman"/>
                <w:sz w:val="21"/>
                <w:szCs w:val="21"/>
              </w:rPr>
              <w:br w:type="textWrapping"/>
            </w:r>
            <w:r>
              <w:rPr>
                <w:rFonts w:ascii="Times New Roman" w:cs="Times New Roman"/>
                <w:sz w:val="21"/>
                <w:szCs w:val="21"/>
              </w:rPr>
              <w:t>必修</w:t>
            </w:r>
            <w:r>
              <w:rPr>
                <w:rFonts w:ascii="Times New Roman" w:hAnsi="Times New Roman" w:cs="Times New Roman"/>
                <w:sz w:val="21"/>
                <w:szCs w:val="21"/>
              </w:rPr>
              <w:br w:type="textWrapping"/>
            </w:r>
            <w:r>
              <w:rPr>
                <w:rFonts w:ascii="Times New Roman" w:cs="Times New Roman"/>
                <w:sz w:val="21"/>
                <w:szCs w:val="21"/>
              </w:rPr>
              <w:t>课程</w:t>
            </w:r>
            <w:r>
              <w:rPr>
                <w:rFonts w:ascii="Times New Roman" w:hAnsi="Times New Roman" w:cs="Times New Roman"/>
                <w:sz w:val="21"/>
                <w:szCs w:val="21"/>
              </w:rPr>
              <w:t>General</w:t>
            </w:r>
            <w:r>
              <w:rPr>
                <w:rFonts w:ascii="Times New Roman" w:hAnsi="Times New Roman" w:cs="Times New Roman"/>
                <w:sz w:val="21"/>
                <w:szCs w:val="21"/>
              </w:rPr>
              <w:br w:type="textWrapping"/>
            </w:r>
            <w:r>
              <w:rPr>
                <w:rFonts w:ascii="Times New Roman" w:hAnsi="Times New Roman" w:cs="Times New Roman"/>
                <w:sz w:val="21"/>
                <w:szCs w:val="21"/>
              </w:rPr>
              <w:t>    Education</w:t>
            </w:r>
          </w:p>
          <w:p>
            <w:pPr>
              <w:rPr>
                <w:rFonts w:ascii="Times New Roman" w:hAnsi="Times New Roman" w:cs="Times New Roman"/>
                <w:sz w:val="21"/>
                <w:szCs w:val="21"/>
              </w:rPr>
            </w:pPr>
            <w:r>
              <w:rPr>
                <w:rFonts w:ascii="Times New Roman" w:hAnsi="Times New Roman" w:cs="Times New Roman"/>
                <w:sz w:val="21"/>
                <w:szCs w:val="21"/>
              </w:rPr>
              <w:t>Course</w:t>
            </w: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TB3707</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思想道德修养与法律基础</w:t>
            </w:r>
            <w:r>
              <w:rPr>
                <w:rFonts w:ascii="Times New Roman" w:hAnsi="Times New Roman" w:cs="Times New Roman"/>
                <w:sz w:val="21"/>
                <w:szCs w:val="21"/>
              </w:rPr>
              <w:t>Ideological and Moral Cultivation and Fundamentals of Law</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TB3703</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马克思主义基本原理概论</w:t>
            </w:r>
            <w:r>
              <w:rPr>
                <w:rFonts w:ascii="Times New Roman" w:hAnsi="Times New Roman" w:cs="Times New Roman"/>
                <w:sz w:val="21"/>
                <w:szCs w:val="21"/>
              </w:rPr>
              <w:t>Basic Theory of Marxism</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TB3706</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中国近现代史纲要</w:t>
            </w:r>
            <w:r>
              <w:rPr>
                <w:rFonts w:ascii="Times New Roman" w:hAnsi="Times New Roman" w:cs="Times New Roman"/>
                <w:sz w:val="21"/>
                <w:szCs w:val="21"/>
              </w:rPr>
              <w:t>Survey of Modern Chinese   History</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823"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TB3701</w:t>
            </w:r>
          </w:p>
          <w:p>
            <w:pPr>
              <w:rPr>
                <w:rFonts w:ascii="Times New Roman" w:hAnsi="Times New Roman" w:cs="Times New Roman"/>
                <w:b w:val="0"/>
                <w:bCs w:val="0"/>
                <w:sz w:val="21"/>
                <w:szCs w:val="21"/>
              </w:rPr>
            </w:pPr>
            <w:r>
              <w:rPr>
                <w:rFonts w:ascii="Times New Roman" w:hAnsi="Times New Roman" w:cs="Times New Roman"/>
                <w:b w:val="0"/>
                <w:bCs w:val="0"/>
                <w:sz w:val="21"/>
                <w:szCs w:val="21"/>
              </w:rPr>
              <w:t>TB3702</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毛泽东思想和中国特色社会主义理论体系概论（</w:t>
            </w:r>
            <w:r>
              <w:rPr>
                <w:rFonts w:ascii="Times New Roman" w:hAnsi="Times New Roman" w:cs="Times New Roman"/>
                <w:b w:val="0"/>
                <w:bCs w:val="0"/>
                <w:sz w:val="21"/>
                <w:szCs w:val="21"/>
              </w:rPr>
              <w:t>1-2</w:t>
            </w:r>
            <w:r>
              <w:rPr>
                <w:rFonts w:ascii="Times New Roman" w:cs="Times New Roman"/>
                <w:b w:val="0"/>
                <w:bCs w:val="0"/>
                <w:sz w:val="21"/>
                <w:szCs w:val="21"/>
              </w:rPr>
              <w:t>）</w:t>
            </w:r>
            <w:r>
              <w:rPr>
                <w:rFonts w:ascii="Times New Roman" w:hAnsi="Times New Roman" w:cs="Times New Roman"/>
                <w:b w:val="0"/>
                <w:bCs w:val="0"/>
                <w:sz w:val="21"/>
                <w:szCs w:val="21"/>
              </w:rPr>
              <w:t>General Introduction to   Mao Zedong Thought and Socialist Theory with Chinese Characteristics</w:t>
            </w:r>
            <w:r>
              <w:rPr>
                <w:rFonts w:ascii="Times New Roman" w:cs="Times New Roman"/>
                <w:b w:val="0"/>
                <w:bCs w:val="0"/>
                <w:sz w:val="21"/>
                <w:szCs w:val="21"/>
              </w:rPr>
              <w:t>Ⅰ</w:t>
            </w:r>
            <w:r>
              <w:rPr>
                <w:rFonts w:ascii="Times New Roman" w:hAnsi="Times New Roman" w:cs="Times New Roman"/>
                <w:b w:val="0"/>
                <w:bCs w:val="0"/>
                <w:sz w:val="21"/>
                <w:szCs w:val="21"/>
              </w:rPr>
              <w:t>-</w:t>
            </w:r>
            <w:r>
              <w:rPr>
                <w:rFonts w:ascii="Times New Roman" w:cs="Times New Roman"/>
                <w:b w:val="0"/>
                <w:bCs w:val="0"/>
                <w:sz w:val="21"/>
                <w:szCs w:val="21"/>
              </w:rPr>
              <w:t>Ⅱ</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6</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108/36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TB4301</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大学语文</w:t>
            </w:r>
            <w:r>
              <w:rPr>
                <w:rFonts w:ascii="Times New Roman" w:hAnsi="Times New Roman" w:cs="Times New Roman"/>
                <w:b w:val="0"/>
                <w:bCs w:val="0"/>
                <w:sz w:val="21"/>
                <w:szCs w:val="21"/>
              </w:rPr>
              <w:t>College Chinese</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TB4307</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应用写作</w:t>
            </w:r>
            <w:r>
              <w:rPr>
                <w:rFonts w:ascii="Times New Roman" w:hAnsi="Times New Roman" w:cs="Times New Roman"/>
                <w:b w:val="0"/>
                <w:bCs w:val="0"/>
                <w:sz w:val="21"/>
                <w:szCs w:val="21"/>
              </w:rPr>
              <w:t>Applied Writing</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18</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TB4601</w:t>
            </w:r>
          </w:p>
          <w:p>
            <w:pPr>
              <w:rPr>
                <w:rFonts w:ascii="Times New Roman" w:hAnsi="Times New Roman" w:cs="Times New Roman"/>
                <w:b w:val="0"/>
                <w:bCs w:val="0"/>
                <w:sz w:val="21"/>
                <w:szCs w:val="21"/>
              </w:rPr>
            </w:pPr>
            <w:r>
              <w:rPr>
                <w:rFonts w:ascii="Times New Roman" w:hAnsi="Times New Roman" w:cs="Times New Roman"/>
                <w:b w:val="0"/>
                <w:bCs w:val="0"/>
                <w:sz w:val="21"/>
                <w:szCs w:val="21"/>
              </w:rPr>
              <w:t>TB4602</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大学英语（</w:t>
            </w:r>
            <w:r>
              <w:rPr>
                <w:rFonts w:ascii="Times New Roman" w:hAnsi="Times New Roman" w:cs="Times New Roman"/>
                <w:b w:val="0"/>
                <w:bCs w:val="0"/>
                <w:sz w:val="21"/>
                <w:szCs w:val="21"/>
              </w:rPr>
              <w:t>1-2</w:t>
            </w:r>
            <w:r>
              <w:rPr>
                <w:rFonts w:ascii="Times New Roman" w:cs="Times New Roman"/>
                <w:b w:val="0"/>
                <w:bCs w:val="0"/>
                <w:sz w:val="21"/>
                <w:szCs w:val="21"/>
              </w:rPr>
              <w:t>）</w:t>
            </w:r>
            <w:r>
              <w:rPr>
                <w:rFonts w:ascii="Times New Roman" w:hAnsi="Times New Roman" w:cs="Times New Roman"/>
                <w:b w:val="0"/>
                <w:bCs w:val="0"/>
                <w:sz w:val="21"/>
                <w:szCs w:val="21"/>
              </w:rPr>
              <w:t>College English</w:t>
            </w:r>
            <w:r>
              <w:rPr>
                <w:rFonts w:ascii="Times New Roman" w:cs="Times New Roman"/>
                <w:b w:val="0"/>
                <w:bCs w:val="0"/>
                <w:sz w:val="21"/>
                <w:szCs w:val="21"/>
              </w:rPr>
              <w:t>Ⅰ</w:t>
            </w:r>
            <w:r>
              <w:rPr>
                <w:rFonts w:ascii="Times New Roman" w:hAnsi="Times New Roman" w:cs="Times New Roman"/>
                <w:b w:val="0"/>
                <w:bCs w:val="0"/>
                <w:sz w:val="21"/>
                <w:szCs w:val="21"/>
              </w:rPr>
              <w:t>-</w:t>
            </w:r>
            <w:r>
              <w:rPr>
                <w:rFonts w:ascii="Times New Roman" w:cs="Times New Roman"/>
                <w:b w:val="0"/>
                <w:bCs w:val="0"/>
                <w:sz w:val="21"/>
                <w:szCs w:val="21"/>
              </w:rPr>
              <w:t>Ⅱ</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8</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144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TB5801</w:t>
            </w:r>
          </w:p>
          <w:p>
            <w:pPr>
              <w:rPr>
                <w:rFonts w:ascii="Times New Roman" w:hAnsi="Times New Roman" w:cs="Times New Roman"/>
                <w:b w:val="0"/>
                <w:bCs w:val="0"/>
                <w:sz w:val="21"/>
                <w:szCs w:val="21"/>
              </w:rPr>
            </w:pPr>
            <w:r>
              <w:rPr>
                <w:rFonts w:ascii="Times New Roman" w:hAnsi="Times New Roman" w:cs="Times New Roman"/>
                <w:b w:val="0"/>
                <w:bCs w:val="0"/>
                <w:sz w:val="21"/>
                <w:szCs w:val="21"/>
              </w:rPr>
              <w:t>TB5802</w:t>
            </w:r>
          </w:p>
          <w:p>
            <w:pPr>
              <w:rPr>
                <w:rFonts w:ascii="Times New Roman" w:hAnsi="Times New Roman" w:cs="Times New Roman"/>
                <w:b w:val="0"/>
                <w:bCs w:val="0"/>
                <w:sz w:val="21"/>
                <w:szCs w:val="21"/>
              </w:rPr>
            </w:pPr>
            <w:r>
              <w:rPr>
                <w:rFonts w:ascii="Times New Roman" w:hAnsi="Times New Roman" w:cs="Times New Roman"/>
                <w:b w:val="0"/>
                <w:bCs w:val="0"/>
                <w:sz w:val="21"/>
                <w:szCs w:val="21"/>
              </w:rPr>
              <w:t>TB5803</w:t>
            </w:r>
          </w:p>
          <w:p>
            <w:pPr>
              <w:rPr>
                <w:rFonts w:ascii="Times New Roman" w:hAnsi="Times New Roman" w:cs="Times New Roman"/>
                <w:b w:val="0"/>
                <w:bCs w:val="0"/>
                <w:sz w:val="21"/>
                <w:szCs w:val="21"/>
              </w:rPr>
            </w:pPr>
            <w:r>
              <w:rPr>
                <w:rFonts w:ascii="Times New Roman" w:hAnsi="Times New Roman" w:cs="Times New Roman"/>
                <w:b w:val="0"/>
                <w:bCs w:val="0"/>
                <w:sz w:val="21"/>
                <w:szCs w:val="21"/>
              </w:rPr>
              <w:t>TB5804</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大学体育（</w:t>
            </w:r>
            <w:r>
              <w:rPr>
                <w:rFonts w:ascii="Times New Roman" w:hAnsi="Times New Roman" w:cs="Times New Roman"/>
                <w:b w:val="0"/>
                <w:bCs w:val="0"/>
                <w:sz w:val="21"/>
                <w:szCs w:val="21"/>
              </w:rPr>
              <w:t>1-4</w:t>
            </w:r>
            <w:r>
              <w:rPr>
                <w:rFonts w:ascii="Times New Roman" w:cs="Times New Roman"/>
                <w:b w:val="0"/>
                <w:bCs w:val="0"/>
                <w:sz w:val="21"/>
                <w:szCs w:val="21"/>
              </w:rPr>
              <w:t>）</w:t>
            </w:r>
            <w:r>
              <w:rPr>
                <w:rFonts w:ascii="Times New Roman" w:hAnsi="Times New Roman" w:cs="Times New Roman"/>
                <w:b w:val="0"/>
                <w:bCs w:val="0"/>
                <w:sz w:val="21"/>
                <w:szCs w:val="21"/>
              </w:rPr>
              <w:t>Physical Education</w:t>
            </w:r>
            <w:r>
              <w:rPr>
                <w:rFonts w:ascii="Times New Roman" w:cs="Times New Roman"/>
                <w:b w:val="0"/>
                <w:bCs w:val="0"/>
                <w:sz w:val="21"/>
                <w:szCs w:val="21"/>
              </w:rPr>
              <w:t>Ⅰ</w:t>
            </w:r>
            <w:r>
              <w:rPr>
                <w:rFonts w:ascii="Times New Roman" w:hAnsi="Times New Roman" w:cs="Times New Roman"/>
                <w:b w:val="0"/>
                <w:bCs w:val="0"/>
                <w:sz w:val="21"/>
                <w:szCs w:val="21"/>
              </w:rPr>
              <w:t>-</w:t>
            </w:r>
            <w:r>
              <w:rPr>
                <w:rFonts w:ascii="Times New Roman" w:cs="Times New Roman"/>
                <w:b w:val="0"/>
                <w:bCs w:val="0"/>
                <w:sz w:val="21"/>
                <w:szCs w:val="21"/>
              </w:rPr>
              <w:t>Ⅳ</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8</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144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TB4908</w:t>
            </w:r>
          </w:p>
          <w:p>
            <w:pPr>
              <w:rPr>
                <w:rFonts w:ascii="Times New Roman" w:hAnsi="Times New Roman" w:cs="Times New Roman"/>
                <w:b w:val="0"/>
                <w:bCs w:val="0"/>
                <w:sz w:val="21"/>
                <w:szCs w:val="21"/>
              </w:rPr>
            </w:pPr>
            <w:r>
              <w:rPr>
                <w:rFonts w:ascii="Times New Roman" w:hAnsi="Times New Roman" w:cs="Times New Roman"/>
                <w:b w:val="0"/>
                <w:bCs w:val="0"/>
                <w:sz w:val="21"/>
                <w:szCs w:val="21"/>
              </w:rPr>
              <w:t>TB4909</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高等数学（</w:t>
            </w:r>
            <w:r>
              <w:rPr>
                <w:rFonts w:ascii="Times New Roman" w:hAnsi="Times New Roman" w:cs="Times New Roman"/>
                <w:b w:val="0"/>
                <w:bCs w:val="0"/>
                <w:sz w:val="21"/>
                <w:szCs w:val="21"/>
              </w:rPr>
              <w:t>1-2</w:t>
            </w:r>
            <w:r>
              <w:rPr>
                <w:rFonts w:ascii="Times New Roman" w:cs="Times New Roman"/>
                <w:b w:val="0"/>
                <w:bCs w:val="0"/>
                <w:sz w:val="21"/>
                <w:szCs w:val="21"/>
              </w:rPr>
              <w:t>）</w:t>
            </w:r>
            <w:r>
              <w:rPr>
                <w:rFonts w:ascii="Times New Roman" w:hAnsi="Times New Roman" w:cs="Times New Roman"/>
                <w:b w:val="0"/>
                <w:bCs w:val="0"/>
                <w:sz w:val="21"/>
                <w:szCs w:val="21"/>
              </w:rPr>
              <w:t>Higher Mathematics</w:t>
            </w:r>
            <w:r>
              <w:rPr>
                <w:rFonts w:ascii="Times New Roman" w:cs="Times New Roman"/>
                <w:b w:val="0"/>
                <w:bCs w:val="0"/>
                <w:sz w:val="21"/>
                <w:szCs w:val="21"/>
              </w:rPr>
              <w:t>Ⅰ</w:t>
            </w:r>
            <w:r>
              <w:rPr>
                <w:rFonts w:ascii="Times New Roman" w:hAnsi="Times New Roman" w:cs="Times New Roman"/>
                <w:b w:val="0"/>
                <w:bCs w:val="0"/>
                <w:sz w:val="21"/>
                <w:szCs w:val="21"/>
              </w:rPr>
              <w:t>-</w:t>
            </w:r>
            <w:r>
              <w:rPr>
                <w:rFonts w:ascii="Times New Roman" w:cs="Times New Roman"/>
                <w:b w:val="0"/>
                <w:bCs w:val="0"/>
                <w:sz w:val="21"/>
                <w:szCs w:val="21"/>
              </w:rPr>
              <w:t>Ⅱ</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7</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126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TB4915</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线性代数</w:t>
            </w:r>
            <w:r>
              <w:rPr>
                <w:rFonts w:ascii="Times New Roman" w:hAnsi="Times New Roman" w:cs="Times New Roman"/>
                <w:b w:val="0"/>
                <w:bCs w:val="0"/>
                <w:sz w:val="21"/>
                <w:szCs w:val="21"/>
              </w:rPr>
              <w:t>Linear Algebra</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TB4914</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概率论与数理统计</w:t>
            </w:r>
            <w:r>
              <w:rPr>
                <w:rFonts w:ascii="Times New Roman" w:hAnsi="Times New Roman" w:cs="Times New Roman"/>
                <w:b w:val="0"/>
                <w:bCs w:val="0"/>
                <w:sz w:val="21"/>
                <w:szCs w:val="21"/>
              </w:rPr>
              <w:t>Probability and   Mathematics Statistics</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TB5208</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大学计算机基础</w:t>
            </w:r>
            <w:r>
              <w:rPr>
                <w:rFonts w:ascii="Times New Roman" w:hAnsi="Times New Roman" w:cs="Times New Roman"/>
                <w:b w:val="0"/>
                <w:bCs w:val="0"/>
                <w:sz w:val="21"/>
                <w:szCs w:val="21"/>
              </w:rPr>
              <w:t>Fundamentals of Computer   Technology</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36/18</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TB3406</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法学通论</w:t>
            </w:r>
            <w:r>
              <w:rPr>
                <w:rFonts w:ascii="Times New Roman" w:hAnsi="Times New Roman" w:cs="Times New Roman"/>
                <w:b w:val="0"/>
                <w:bCs w:val="0"/>
                <w:sz w:val="21"/>
                <w:szCs w:val="21"/>
              </w:rPr>
              <w:t>Fundamentals of Law</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18</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TB9998</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就业指导</w:t>
            </w:r>
            <w:r>
              <w:rPr>
                <w:rFonts w:ascii="Times New Roman" w:hAnsi="Times New Roman" w:cs="Times New Roman"/>
                <w:b w:val="0"/>
                <w:bCs w:val="0"/>
                <w:sz w:val="21"/>
                <w:szCs w:val="21"/>
              </w:rPr>
              <w:t>Career Guidance</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18</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4932"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通识必修课程小计</w:t>
            </w:r>
            <w:r>
              <w:rPr>
                <w:rFonts w:ascii="Times New Roman" w:hAnsi="Times New Roman" w:cs="Times New Roman"/>
                <w:b w:val="0"/>
                <w:bCs w:val="0"/>
                <w:sz w:val="21"/>
                <w:szCs w:val="21"/>
              </w:rPr>
              <w:t>Subtotal</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51</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900//54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通识选修课程</w:t>
            </w:r>
            <w:r>
              <w:rPr>
                <w:rFonts w:ascii="Times New Roman" w:hAnsi="Times New Roman" w:cs="Times New Roman"/>
                <w:sz w:val="21"/>
                <w:szCs w:val="21"/>
              </w:rPr>
              <w:t>General Education Optional Cours</w:t>
            </w:r>
          </w:p>
        </w:tc>
        <w:tc>
          <w:tcPr>
            <w:tcW w:w="4932"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在学校公布的通识选修课模块中选修</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18</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324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4932"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通识选修课程小计</w:t>
            </w:r>
            <w:r>
              <w:rPr>
                <w:rFonts w:ascii="Times New Roman" w:hAnsi="Times New Roman" w:cs="Times New Roman"/>
                <w:b w:val="0"/>
                <w:bCs w:val="0"/>
                <w:sz w:val="21"/>
                <w:szCs w:val="21"/>
              </w:rPr>
              <w:t>Subtotal</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18</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324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color w:val="000000" w:themeColor="text1"/>
                <w:sz w:val="21"/>
                <w:szCs w:val="21"/>
              </w:rPr>
            </w:pPr>
            <w:r>
              <w:rPr>
                <w:rFonts w:ascii="Times New Roman" w:cs="Times New Roman"/>
                <w:color w:val="000000" w:themeColor="text1"/>
                <w:sz w:val="21"/>
                <w:szCs w:val="21"/>
              </w:rPr>
              <w:t>专业</w:t>
            </w:r>
          </w:p>
          <w:p>
            <w:pPr>
              <w:rPr>
                <w:rFonts w:ascii="Times New Roman" w:hAnsi="Times New Roman" w:cs="Times New Roman"/>
                <w:color w:val="000000" w:themeColor="text1"/>
                <w:sz w:val="21"/>
                <w:szCs w:val="21"/>
              </w:rPr>
            </w:pPr>
            <w:r>
              <w:rPr>
                <w:rFonts w:ascii="Times New Roman" w:cs="Times New Roman"/>
                <w:color w:val="000000" w:themeColor="text1"/>
                <w:sz w:val="21"/>
                <w:szCs w:val="21"/>
              </w:rPr>
              <w:t>基础课</w:t>
            </w:r>
          </w:p>
          <w:p>
            <w:pP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Discipline Basic Courses</w:t>
            </w: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hAnsi="Times New Roman" w:cs="Times New Roman"/>
                <w:b w:val="0"/>
                <w:bCs w:val="0"/>
                <w:color w:val="000000" w:themeColor="text1"/>
                <w:sz w:val="21"/>
                <w:szCs w:val="21"/>
              </w:rPr>
              <w:t>ZJ2203</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cs="Times New Roman"/>
                <w:b w:val="0"/>
                <w:bCs w:val="0"/>
                <w:color w:val="000000" w:themeColor="text1"/>
                <w:sz w:val="21"/>
                <w:szCs w:val="21"/>
              </w:rPr>
              <w:t>管理学</w:t>
            </w:r>
            <w:r>
              <w:rPr>
                <w:rFonts w:ascii="Times New Roman" w:hAnsi="Times New Roman" w:cs="Times New Roman"/>
                <w:b w:val="0"/>
                <w:bCs w:val="0"/>
                <w:color w:val="000000" w:themeColor="text1"/>
                <w:sz w:val="21"/>
                <w:szCs w:val="21"/>
              </w:rPr>
              <w:t>Management</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color w:val="000000" w:themeColor="text1"/>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hAnsi="Times New Roman" w:cs="Times New Roman"/>
                <w:b w:val="0"/>
                <w:bCs w:val="0"/>
                <w:color w:val="000000" w:themeColor="text1"/>
                <w:sz w:val="21"/>
                <w:szCs w:val="21"/>
              </w:rPr>
              <w:t>ZJ1005</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cs="Times New Roman"/>
                <w:b w:val="0"/>
                <w:bCs w:val="0"/>
                <w:color w:val="000000" w:themeColor="text1"/>
                <w:sz w:val="21"/>
                <w:szCs w:val="21"/>
              </w:rPr>
              <w:t>经济学</w:t>
            </w:r>
            <w:r>
              <w:rPr>
                <w:rFonts w:ascii="Times New Roman" w:hAnsi="Times New Roman" w:cs="Times New Roman"/>
                <w:b w:val="0"/>
                <w:bCs w:val="0"/>
                <w:color w:val="000000" w:themeColor="text1"/>
                <w:sz w:val="21"/>
                <w:szCs w:val="21"/>
              </w:rPr>
              <w:t>economics</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color w:val="000000" w:themeColor="text1"/>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hAnsi="Times New Roman" w:cs="Times New Roman"/>
                <w:b w:val="0"/>
                <w:bCs w:val="0"/>
                <w:color w:val="000000" w:themeColor="text1"/>
                <w:sz w:val="21"/>
                <w:szCs w:val="21"/>
              </w:rPr>
              <w:t>ZJ1101</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cs="Times New Roman"/>
                <w:b w:val="0"/>
                <w:bCs w:val="0"/>
                <w:color w:val="000000" w:themeColor="text1"/>
                <w:sz w:val="21"/>
                <w:szCs w:val="21"/>
              </w:rPr>
              <w:t>旅游消费者行为</w:t>
            </w:r>
            <w:r>
              <w:rPr>
                <w:rFonts w:ascii="Times New Roman" w:hAnsi="Times New Roman" w:cs="Times New Roman"/>
                <w:b w:val="0"/>
                <w:bCs w:val="0"/>
                <w:color w:val="000000" w:themeColor="text1"/>
                <w:sz w:val="21"/>
                <w:szCs w:val="21"/>
              </w:rPr>
              <w:t>Travel consumer behavior</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color w:val="000000" w:themeColor="text1"/>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hAnsi="Times New Roman" w:cs="Times New Roman"/>
                <w:b w:val="0"/>
                <w:bCs w:val="0"/>
                <w:color w:val="000000" w:themeColor="text1"/>
                <w:sz w:val="21"/>
                <w:szCs w:val="21"/>
              </w:rPr>
              <w:t>ZJ4904</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cs="Times New Roman"/>
                <w:b w:val="0"/>
                <w:bCs w:val="0"/>
                <w:color w:val="000000" w:themeColor="text1"/>
                <w:sz w:val="21"/>
                <w:szCs w:val="21"/>
              </w:rPr>
              <w:t>旅游学概论</w:t>
            </w:r>
            <w:r>
              <w:rPr>
                <w:rFonts w:ascii="Times New Roman" w:hAnsi="Times New Roman" w:cs="Times New Roman"/>
                <w:b w:val="0"/>
                <w:bCs w:val="0"/>
                <w:color w:val="000000" w:themeColor="text1"/>
                <w:sz w:val="21"/>
                <w:szCs w:val="21"/>
              </w:rPr>
              <w:t>Tourism Science</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color w:val="000000" w:themeColor="text1"/>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hAnsi="Times New Roman" w:cs="Times New Roman"/>
                <w:b w:val="0"/>
                <w:bCs w:val="0"/>
                <w:color w:val="000000" w:themeColor="text1"/>
                <w:sz w:val="21"/>
                <w:szCs w:val="21"/>
              </w:rPr>
              <w:t>ZJ2506</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lang w:val="en-US"/>
              </w:rPr>
            </w:pPr>
            <w:r>
              <w:rPr>
                <w:rFonts w:ascii="Times New Roman" w:cs="Times New Roman"/>
                <w:b w:val="0"/>
                <w:bCs w:val="0"/>
                <w:color w:val="000000" w:themeColor="text1"/>
                <w:sz w:val="21"/>
                <w:szCs w:val="21"/>
              </w:rPr>
              <w:t>旅游目的地管理</w:t>
            </w:r>
            <w:r>
              <w:rPr>
                <w:rFonts w:ascii="Times New Roman" w:hAnsi="Times New Roman" w:cs="Times New Roman"/>
                <w:b w:val="0"/>
                <w:bCs w:val="0"/>
                <w:color w:val="000000" w:themeColor="text1"/>
                <w:sz w:val="21"/>
                <w:szCs w:val="21"/>
                <w:lang w:val="en-US"/>
              </w:rPr>
              <w:t>Tourism destination management</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color w:val="000000" w:themeColor="text1"/>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hAnsi="Times New Roman" w:cs="Times New Roman"/>
                <w:b w:val="0"/>
                <w:bCs w:val="0"/>
                <w:color w:val="000000" w:themeColor="text1"/>
                <w:sz w:val="21"/>
                <w:szCs w:val="21"/>
              </w:rPr>
              <w:t>ZJ5207</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cs="Times New Roman"/>
                <w:b w:val="0"/>
                <w:bCs w:val="0"/>
                <w:color w:val="000000" w:themeColor="text1"/>
                <w:sz w:val="21"/>
                <w:szCs w:val="21"/>
              </w:rPr>
              <w:t>旅游接待业</w:t>
            </w:r>
            <w:r>
              <w:rPr>
                <w:rFonts w:ascii="Times New Roman" w:hAnsi="Times New Roman" w:cs="Times New Roman"/>
                <w:b w:val="0"/>
                <w:bCs w:val="0"/>
                <w:color w:val="000000" w:themeColor="text1"/>
                <w:sz w:val="21"/>
                <w:szCs w:val="21"/>
              </w:rPr>
              <w:t>Tourist reception</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color w:val="000000" w:themeColor="text1"/>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hAnsi="Times New Roman" w:cs="Times New Roman"/>
                <w:b w:val="0"/>
                <w:bCs w:val="0"/>
                <w:color w:val="000000" w:themeColor="text1"/>
                <w:sz w:val="21"/>
                <w:szCs w:val="21"/>
              </w:rPr>
              <w:t>ZJ2504</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cs="Times New Roman"/>
                <w:b w:val="0"/>
                <w:bCs w:val="0"/>
                <w:color w:val="000000" w:themeColor="text1"/>
                <w:sz w:val="21"/>
                <w:szCs w:val="21"/>
              </w:rPr>
              <w:t>财务管理学</w:t>
            </w:r>
            <w:r>
              <w:rPr>
                <w:rFonts w:ascii="Times New Roman" w:hAnsi="Times New Roman" w:cs="Times New Roman"/>
                <w:b w:val="0"/>
                <w:bCs w:val="0"/>
                <w:color w:val="000000" w:themeColor="text1"/>
                <w:sz w:val="21"/>
                <w:szCs w:val="21"/>
              </w:rPr>
              <w:t>Financial   Administration</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color w:val="000000" w:themeColor="text1"/>
                <w:sz w:val="21"/>
                <w:szCs w:val="21"/>
              </w:rPr>
            </w:pPr>
          </w:p>
        </w:tc>
        <w:tc>
          <w:tcPr>
            <w:tcW w:w="4932"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cs="Times New Roman"/>
                <w:b w:val="0"/>
                <w:bCs w:val="0"/>
                <w:color w:val="000000" w:themeColor="text1"/>
                <w:sz w:val="21"/>
                <w:szCs w:val="21"/>
              </w:rPr>
              <w:t>专业基础课程小计</w:t>
            </w:r>
            <w:r>
              <w:rPr>
                <w:rFonts w:ascii="Times New Roman" w:hAnsi="Times New Roman" w:cs="Times New Roman"/>
                <w:b w:val="0"/>
                <w:bCs w:val="0"/>
                <w:color w:val="000000" w:themeColor="text1"/>
                <w:sz w:val="21"/>
                <w:szCs w:val="21"/>
              </w:rPr>
              <w:t>Subtotal</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21</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378</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43" w:hRule="atLeast"/>
          <w:jc w:val="center"/>
        </w:trPr>
        <w:tc>
          <w:tcPr>
            <w:tcW w:w="1356"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color w:val="000000" w:themeColor="text1"/>
                <w:sz w:val="21"/>
                <w:szCs w:val="21"/>
              </w:rPr>
            </w:pPr>
            <w:r>
              <w:rPr>
                <w:rFonts w:ascii="Times New Roman" w:cs="Times New Roman"/>
                <w:color w:val="000000" w:themeColor="text1"/>
                <w:sz w:val="21"/>
                <w:szCs w:val="21"/>
              </w:rPr>
              <w:t>专业</w:t>
            </w:r>
            <w:r>
              <w:rPr>
                <w:rFonts w:ascii="Times New Roman" w:hAnsi="Times New Roman" w:cs="Times New Roman"/>
                <w:color w:val="000000" w:themeColor="text1"/>
                <w:sz w:val="21"/>
                <w:szCs w:val="21"/>
              </w:rPr>
              <w:br w:type="textWrapping"/>
            </w:r>
            <w:r>
              <w:rPr>
                <w:rFonts w:ascii="Times New Roman" w:cs="Times New Roman"/>
                <w:color w:val="000000" w:themeColor="text1"/>
                <w:sz w:val="21"/>
                <w:szCs w:val="21"/>
              </w:rPr>
              <w:t>必修</w:t>
            </w:r>
            <w:r>
              <w:rPr>
                <w:rFonts w:ascii="Times New Roman" w:hAnsi="Times New Roman" w:cs="Times New Roman"/>
                <w:color w:val="000000" w:themeColor="text1"/>
                <w:sz w:val="21"/>
                <w:szCs w:val="21"/>
              </w:rPr>
              <w:br w:type="textWrapping"/>
            </w:r>
            <w:r>
              <w:rPr>
                <w:rFonts w:ascii="Times New Roman" w:cs="Times New Roman"/>
                <w:color w:val="000000" w:themeColor="text1"/>
                <w:sz w:val="21"/>
                <w:szCs w:val="21"/>
              </w:rPr>
              <w:t>课程</w:t>
            </w:r>
            <w:r>
              <w:rPr>
                <w:rFonts w:ascii="Times New Roman" w:hAnsi="Times New Roman" w:cs="Times New Roman"/>
                <w:color w:val="000000" w:themeColor="text1"/>
                <w:sz w:val="21"/>
                <w:szCs w:val="21"/>
              </w:rPr>
              <w:br w:type="textWrapping"/>
            </w:r>
            <w:r>
              <w:rPr>
                <w:rFonts w:ascii="Times New Roman" w:hAnsi="Times New Roman" w:cs="Times New Roman"/>
                <w:color w:val="000000" w:themeColor="text1"/>
                <w:sz w:val="21"/>
                <w:szCs w:val="21"/>
              </w:rPr>
              <w:t>Major Compulsory Course</w:t>
            </w: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hAnsi="Times New Roman" w:cs="Times New Roman"/>
                <w:b w:val="0"/>
                <w:bCs w:val="0"/>
                <w:color w:val="000000" w:themeColor="text1"/>
                <w:sz w:val="21"/>
                <w:szCs w:val="21"/>
              </w:rPr>
              <w:t>ZB2836</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cs="Times New Roman"/>
                <w:b w:val="0"/>
                <w:bCs w:val="0"/>
                <w:color w:val="000000" w:themeColor="text1"/>
                <w:sz w:val="21"/>
                <w:szCs w:val="21"/>
              </w:rPr>
              <w:t>酒店运营管理</w:t>
            </w:r>
            <w:r>
              <w:rPr>
                <w:rFonts w:ascii="Times New Roman" w:hAnsi="Times New Roman" w:cs="Times New Roman"/>
                <w:b w:val="0"/>
                <w:bCs w:val="0"/>
                <w:color w:val="000000" w:themeColor="text1"/>
                <w:sz w:val="21"/>
                <w:szCs w:val="21"/>
              </w:rPr>
              <w:t> Hospitality Operation</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43"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color w:val="000000" w:themeColor="text1"/>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hAnsi="Times New Roman" w:cs="Times New Roman"/>
                <w:b w:val="0"/>
                <w:bCs w:val="0"/>
                <w:color w:val="000000" w:themeColor="text1"/>
                <w:sz w:val="21"/>
                <w:szCs w:val="21"/>
              </w:rPr>
              <w:t>ZB2809</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酒店管理概论</w:t>
            </w:r>
            <w:r>
              <w:rPr>
                <w:rFonts w:ascii="Times New Roman" w:hAnsi="Times New Roman" w:cs="Times New Roman"/>
                <w:b w:val="0"/>
                <w:bCs w:val="0"/>
                <w:sz w:val="21"/>
                <w:szCs w:val="21"/>
              </w:rPr>
              <w:t>Introduction to hotel management</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43"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color w:val="000000" w:themeColor="text1"/>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hAnsi="Times New Roman" w:cs="Times New Roman"/>
                <w:b w:val="0"/>
                <w:bCs w:val="0"/>
                <w:color w:val="000000" w:themeColor="text1"/>
                <w:sz w:val="21"/>
                <w:szCs w:val="21"/>
              </w:rPr>
              <w:t>ZB2823</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酒店服务质量管理</w:t>
            </w:r>
            <w:r>
              <w:rPr>
                <w:rFonts w:ascii="Times New Roman" w:hAnsi="Times New Roman" w:cs="Times New Roman"/>
                <w:b w:val="0"/>
                <w:bCs w:val="0"/>
                <w:sz w:val="21"/>
                <w:szCs w:val="21"/>
              </w:rPr>
              <w:t>Service Quality Management of Hospitalilty</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43"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color w:val="000000" w:themeColor="text1"/>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hAnsi="Times New Roman" w:cs="Times New Roman"/>
                <w:b w:val="0"/>
                <w:bCs w:val="0"/>
                <w:color w:val="000000" w:themeColor="text1"/>
                <w:sz w:val="21"/>
                <w:szCs w:val="21"/>
              </w:rPr>
              <w:t>ZB2824</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市场营销</w:t>
            </w:r>
            <w:r>
              <w:rPr>
                <w:rFonts w:ascii="Times New Roman" w:hAnsi="Times New Roman" w:cs="Times New Roman"/>
                <w:b w:val="0"/>
                <w:bCs w:val="0"/>
                <w:sz w:val="21"/>
                <w:szCs w:val="21"/>
              </w:rPr>
              <w:t>marketing</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43"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color w:val="000000" w:themeColor="text1"/>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hAnsi="Times New Roman" w:cs="Times New Roman"/>
                <w:b w:val="0"/>
                <w:bCs w:val="0"/>
                <w:color w:val="000000" w:themeColor="text1"/>
                <w:sz w:val="21"/>
                <w:szCs w:val="21"/>
              </w:rPr>
              <w:t>ZB2839</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酒店客户管理</w:t>
            </w:r>
            <w:r>
              <w:rPr>
                <w:rFonts w:ascii="Times New Roman" w:hAnsi="Times New Roman" w:cs="Times New Roman"/>
                <w:b w:val="0"/>
                <w:bCs w:val="0"/>
                <w:sz w:val="21"/>
                <w:szCs w:val="21"/>
              </w:rPr>
              <w:t>Hotel customer management</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43"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ZB2814</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cs="Times New Roman"/>
                <w:b w:val="0"/>
                <w:bCs w:val="0"/>
                <w:color w:val="000000" w:themeColor="text1"/>
                <w:sz w:val="21"/>
                <w:szCs w:val="21"/>
              </w:rPr>
              <w:t>酒店人力资源管理</w:t>
            </w:r>
            <w:r>
              <w:rPr>
                <w:rFonts w:ascii="Times New Roman" w:hAnsi="Times New Roman" w:cs="Times New Roman"/>
                <w:b w:val="0"/>
                <w:bCs w:val="0"/>
                <w:color w:val="000000" w:themeColor="text1"/>
                <w:sz w:val="21"/>
                <w:szCs w:val="21"/>
              </w:rPr>
              <w:t>Human   Resources Management of Hospitality</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43"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ZB2813</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cs="Times New Roman"/>
                <w:b w:val="0"/>
                <w:bCs w:val="0"/>
                <w:color w:val="000000" w:themeColor="text1"/>
                <w:sz w:val="21"/>
                <w:szCs w:val="21"/>
              </w:rPr>
              <w:t>酒店房务管理</w:t>
            </w:r>
            <w:r>
              <w:rPr>
                <w:rFonts w:ascii="Times New Roman" w:hAnsi="Times New Roman" w:cs="Times New Roman"/>
                <w:b w:val="0"/>
                <w:bCs w:val="0"/>
                <w:color w:val="000000" w:themeColor="text1"/>
                <w:sz w:val="21"/>
                <w:szCs w:val="21"/>
              </w:rPr>
              <w:t>Housekeeping   Management of Hospitality</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54/18</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43"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ZB2806</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cs="Times New Roman"/>
                <w:b w:val="0"/>
                <w:bCs w:val="0"/>
                <w:color w:val="000000" w:themeColor="text1"/>
                <w:sz w:val="21"/>
                <w:szCs w:val="21"/>
              </w:rPr>
              <w:t>餐饮管理</w:t>
            </w:r>
            <w:r>
              <w:rPr>
                <w:rFonts w:ascii="Times New Roman" w:hAnsi="Times New Roman" w:cs="Times New Roman"/>
                <w:b w:val="0"/>
                <w:bCs w:val="0"/>
                <w:color w:val="000000" w:themeColor="text1"/>
                <w:sz w:val="21"/>
                <w:szCs w:val="21"/>
              </w:rPr>
              <w:t>Catering   Management of Hospitality</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54/18</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43"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ZB2817</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color w:val="000000" w:themeColor="text1"/>
                <w:sz w:val="21"/>
                <w:szCs w:val="21"/>
              </w:rPr>
            </w:pPr>
            <w:r>
              <w:rPr>
                <w:rFonts w:ascii="Times New Roman" w:cs="Times New Roman"/>
                <w:b w:val="0"/>
                <w:bCs w:val="0"/>
                <w:color w:val="000000" w:themeColor="text1"/>
                <w:sz w:val="21"/>
                <w:szCs w:val="21"/>
              </w:rPr>
              <w:t>统计</w:t>
            </w:r>
            <w:r>
              <w:rPr>
                <w:rFonts w:hint="eastAsia" w:ascii="Times New Roman" w:cs="Times New Roman"/>
                <w:b w:val="0"/>
                <w:bCs w:val="0"/>
                <w:color w:val="000000" w:themeColor="text1"/>
                <w:sz w:val="21"/>
                <w:szCs w:val="21"/>
              </w:rPr>
              <w:t xml:space="preserve">分析 </w:t>
            </w:r>
            <w:r>
              <w:rPr>
                <w:rFonts w:ascii="Times New Roman" w:hAnsi="Times New Roman" w:cs="Times New Roman"/>
                <w:b w:val="0"/>
                <w:bCs w:val="0"/>
                <w:color w:val="000000" w:themeColor="text1"/>
                <w:sz w:val="21"/>
                <w:szCs w:val="21"/>
              </w:rPr>
              <w:t>Statistical</w:t>
            </w:r>
            <w:r>
              <w:rPr>
                <w:rFonts w:hint="eastAsia" w:ascii="Times New Roman" w:hAnsi="Times New Roman" w:cs="Times New Roman"/>
                <w:b w:val="0"/>
                <w:bCs w:val="0"/>
                <w:color w:val="000000" w:themeColor="text1"/>
                <w:sz w:val="21"/>
                <w:szCs w:val="21"/>
              </w:rPr>
              <w:t xml:space="preserve"> A</w:t>
            </w:r>
            <w:r>
              <w:rPr>
                <w:rFonts w:ascii="Times New Roman" w:hAnsi="Times New Roman" w:cs="Times New Roman"/>
                <w:b w:val="0"/>
                <w:bCs w:val="0"/>
                <w:color w:val="000000" w:themeColor="text1"/>
                <w:sz w:val="21"/>
                <w:szCs w:val="21"/>
              </w:rPr>
              <w:t>nalysis</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43"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4932"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cs="Times New Roman"/>
                <w:b w:val="0"/>
                <w:bCs w:val="0"/>
                <w:sz w:val="21"/>
                <w:szCs w:val="21"/>
              </w:rPr>
              <w:t>专业必修课程小计</w:t>
            </w:r>
            <w:r>
              <w:rPr>
                <w:rFonts w:ascii="Times New Roman" w:hAnsi="Times New Roman" w:cs="Times New Roman"/>
                <w:b w:val="0"/>
                <w:bCs w:val="0"/>
                <w:sz w:val="21"/>
                <w:szCs w:val="21"/>
              </w:rPr>
              <w:t>Subtotal</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22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432/36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val="0"/>
                <w:bCs w:val="0"/>
                <w:sz w:val="21"/>
                <w:szCs w:val="21"/>
              </w:rPr>
            </w:pPr>
            <w:r>
              <w:rPr>
                <w:rFonts w:ascii="Times New Roman" w:hAnsi="Times New Roman" w:cs="Times New Roman"/>
                <w:b w:val="0"/>
                <w:bCs w:val="0"/>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课程类别</w:t>
            </w:r>
          </w:p>
          <w:p>
            <w:pPr>
              <w:rPr>
                <w:rFonts w:ascii="Times New Roman" w:hAnsi="Times New Roman" w:cs="Times New Roman"/>
                <w:sz w:val="21"/>
                <w:szCs w:val="21"/>
              </w:rPr>
            </w:pPr>
            <w:r>
              <w:rPr>
                <w:rFonts w:ascii="Times New Roman" w:hAnsi="Times New Roman" w:cs="Times New Roman"/>
                <w:b/>
                <w:sz w:val="21"/>
                <w:szCs w:val="21"/>
              </w:rPr>
              <w:t>Type of Course</w:t>
            </w: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课程代码</w:t>
            </w:r>
          </w:p>
          <w:p>
            <w:pPr>
              <w:rPr>
                <w:rFonts w:ascii="Times New Roman" w:hAnsi="Times New Roman" w:cs="Times New Roman"/>
                <w:sz w:val="21"/>
                <w:szCs w:val="21"/>
              </w:rPr>
            </w:pPr>
            <w:r>
              <w:rPr>
                <w:rFonts w:ascii="Times New Roman" w:hAnsi="Times New Roman" w:cs="Times New Roman"/>
                <w:b/>
                <w:sz w:val="21"/>
                <w:szCs w:val="21"/>
              </w:rPr>
              <w:t>Course Code</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课程名称</w:t>
            </w:r>
          </w:p>
          <w:p>
            <w:pPr>
              <w:rPr>
                <w:rFonts w:ascii="Times New Roman" w:hAnsi="Times New Roman" w:cs="Times New Roman"/>
                <w:sz w:val="21"/>
                <w:szCs w:val="21"/>
              </w:rPr>
            </w:pPr>
            <w:r>
              <w:rPr>
                <w:rFonts w:ascii="Times New Roman" w:hAnsi="Times New Roman" w:cs="Times New Roman"/>
                <w:b/>
                <w:sz w:val="21"/>
                <w:szCs w:val="21"/>
              </w:rPr>
              <w:t>Name of Course</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学分</w:t>
            </w:r>
            <w:r>
              <w:rPr>
                <w:rFonts w:ascii="Times New Roman" w:hAnsi="Times New Roman" w:cs="Times New Roman"/>
                <w:b/>
                <w:sz w:val="21"/>
                <w:szCs w:val="21"/>
              </w:rPr>
              <w:t>Credit</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学时</w:t>
            </w:r>
            <w:r>
              <w:rPr>
                <w:rFonts w:ascii="Times New Roman" w:hAnsi="Times New Roman" w:cs="Times New Roman"/>
                <w:b/>
                <w:sz w:val="21"/>
                <w:szCs w:val="21"/>
              </w:rPr>
              <w:t>Hours</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开课学期</w:t>
            </w:r>
            <w:r>
              <w:rPr>
                <w:rFonts w:ascii="Times New Roman" w:hAnsi="Times New Roman" w:cs="Times New Roman"/>
                <w:b/>
                <w:sz w:val="21"/>
                <w:szCs w:val="21"/>
              </w:rPr>
              <w:t>Semester</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专业</w:t>
            </w:r>
            <w:r>
              <w:rPr>
                <w:rFonts w:ascii="Times New Roman" w:hAnsi="Times New Roman" w:cs="Times New Roman"/>
                <w:sz w:val="21"/>
                <w:szCs w:val="21"/>
              </w:rPr>
              <w:br w:type="textWrapping"/>
            </w:r>
            <w:r>
              <w:rPr>
                <w:rFonts w:ascii="Times New Roman" w:cs="Times New Roman"/>
                <w:sz w:val="21"/>
                <w:szCs w:val="21"/>
              </w:rPr>
              <w:t>选修</w:t>
            </w:r>
            <w:r>
              <w:rPr>
                <w:rFonts w:ascii="Times New Roman" w:hAnsi="Times New Roman" w:cs="Times New Roman"/>
                <w:sz w:val="21"/>
                <w:szCs w:val="21"/>
              </w:rPr>
              <w:br w:type="textWrapping"/>
            </w:r>
            <w:r>
              <w:rPr>
                <w:rFonts w:ascii="Times New Roman" w:cs="Times New Roman"/>
                <w:sz w:val="21"/>
                <w:szCs w:val="21"/>
              </w:rPr>
              <w:t>课程</w:t>
            </w:r>
            <w:r>
              <w:rPr>
                <w:rFonts w:ascii="Times New Roman" w:hAnsi="Times New Roman" w:cs="Times New Roman"/>
                <w:sz w:val="21"/>
                <w:szCs w:val="21"/>
              </w:rPr>
              <w:br w:type="textWrapping"/>
            </w:r>
            <w:r>
              <w:rPr>
                <w:rFonts w:ascii="Times New Roman" w:hAnsi="Times New Roman" w:cs="Times New Roman"/>
                <w:sz w:val="21"/>
                <w:szCs w:val="21"/>
              </w:rPr>
              <w:t>   Major Optional Course</w:t>
            </w: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ZX2826</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酒店管理专业发展前沿</w:t>
            </w:r>
            <w:r>
              <w:rPr>
                <w:rFonts w:ascii="Times New Roman" w:hAnsi="Times New Roman" w:cs="Times New Roman"/>
                <w:sz w:val="21"/>
                <w:szCs w:val="21"/>
              </w:rPr>
              <w:t>Tourism Research Prospect</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ZX2807</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服务与社交礼仪</w:t>
            </w:r>
            <w:r>
              <w:rPr>
                <w:rFonts w:ascii="Times New Roman" w:hAnsi="Times New Roman" w:cs="Times New Roman"/>
                <w:sz w:val="21"/>
                <w:szCs w:val="21"/>
              </w:rPr>
              <w:t> Service &amp; Social   Etiquette</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ZX2829</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酒店设计与布局</w:t>
            </w:r>
            <w:r>
              <w:rPr>
                <w:rFonts w:ascii="Times New Roman" w:hAnsi="Times New Roman" w:cs="Times New Roman"/>
                <w:sz w:val="21"/>
                <w:szCs w:val="21"/>
              </w:rPr>
              <w:t>The Design and Layout of Hotel</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ZX2831</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酒店战略管理</w:t>
            </w:r>
            <w:r>
              <w:rPr>
                <w:rFonts w:ascii="Times New Roman" w:hAnsi="Times New Roman" w:cs="Times New Roman"/>
                <w:sz w:val="21"/>
                <w:szCs w:val="21"/>
              </w:rPr>
              <w:t>Hospitality Strategy Management</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ZX5831</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休闲管理</w:t>
            </w:r>
            <w:r>
              <w:rPr>
                <w:rFonts w:ascii="Times New Roman" w:hAnsi="Times New Roman" w:cs="Times New Roman"/>
                <w:sz w:val="21"/>
                <w:szCs w:val="21"/>
              </w:rPr>
              <w:t>Recreation Management</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ZX2827</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lang w:val="en-US"/>
              </w:rPr>
            </w:pPr>
            <w:r>
              <w:rPr>
                <w:rFonts w:ascii="Times New Roman" w:cs="Times New Roman"/>
                <w:sz w:val="21"/>
                <w:szCs w:val="21"/>
              </w:rPr>
              <w:t>酒店跨文化管理</w:t>
            </w:r>
            <w:r>
              <w:rPr>
                <w:rFonts w:ascii="Times New Roman" w:hAnsi="Times New Roman" w:cs="Times New Roman"/>
                <w:sz w:val="21"/>
                <w:szCs w:val="21"/>
                <w:lang w:val="en-US"/>
              </w:rPr>
              <w:t>Intercultural Managementof   Hospitality</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ZX2869</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宴会设计</w:t>
            </w:r>
            <w:r>
              <w:rPr>
                <w:rFonts w:ascii="Times New Roman" w:hAnsi="Times New Roman" w:cs="Times New Roman"/>
                <w:sz w:val="21"/>
                <w:szCs w:val="21"/>
              </w:rPr>
              <w:t>Banquet Design</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ZX2837</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旅游管理发展前沿</w:t>
            </w:r>
            <w:r>
              <w:rPr>
                <w:rFonts w:ascii="Times New Roman" w:hAnsi="Times New Roman" w:cs="Times New Roman"/>
                <w:sz w:val="21"/>
                <w:szCs w:val="21"/>
              </w:rPr>
              <w:t>Tourism Research Prospect</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ZX2843</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旅游地理学</w:t>
            </w:r>
            <w:r>
              <w:rPr>
                <w:rFonts w:ascii="Times New Roman" w:hAnsi="Times New Roman" w:cs="Times New Roman"/>
                <w:sz w:val="21"/>
                <w:szCs w:val="21"/>
              </w:rPr>
              <w:t>Tourism</w:t>
            </w:r>
            <w:r>
              <w:rPr>
                <w:rFonts w:ascii="Times New Roman" w:hAnsi="Times New Roman" w:eastAsia="微软雅黑" w:cs="Times New Roman"/>
                <w:color w:val="333333"/>
                <w:sz w:val="21"/>
                <w:szCs w:val="21"/>
              </w:rPr>
              <w:t xml:space="preserve"> </w:t>
            </w:r>
            <w:r>
              <w:rPr>
                <w:rFonts w:ascii="Times New Roman" w:hAnsi="Times New Roman" w:cs="Times New Roman"/>
                <w:sz w:val="21"/>
                <w:szCs w:val="21"/>
              </w:rPr>
              <w:t>geography</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ZX2881</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国际旅游概览</w:t>
            </w:r>
            <w:r>
              <w:rPr>
                <w:rFonts w:ascii="Times New Roman" w:hAnsi="Times New Roman" w:cs="Times New Roman"/>
                <w:sz w:val="21"/>
                <w:szCs w:val="21"/>
              </w:rPr>
              <w:t>International Touris</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ZX2884</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国际城市会展业概览</w:t>
            </w:r>
            <w:r>
              <w:rPr>
                <w:rFonts w:ascii="Times New Roman" w:hAnsi="Times New Roman" w:cs="Times New Roman"/>
                <w:sz w:val="21"/>
                <w:szCs w:val="21"/>
              </w:rPr>
              <w:t>MICE Industry of Global Cities</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ZX2847</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旅游政策法规</w:t>
            </w:r>
            <w:r>
              <w:rPr>
                <w:rFonts w:ascii="Times New Roman" w:hAnsi="Times New Roman" w:cs="Times New Roman"/>
                <w:sz w:val="21"/>
                <w:szCs w:val="21"/>
              </w:rPr>
              <w:t> Tourism Policy and Law</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ZX2806</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导游业务</w:t>
            </w:r>
            <w:r>
              <w:rPr>
                <w:rFonts w:hint="eastAsia" w:ascii="Times New Roman" w:hAnsi="Times New Roman" w:cs="Times New Roman"/>
                <w:sz w:val="21"/>
                <w:szCs w:val="21"/>
              </w:rPr>
              <w:t xml:space="preserve"> </w:t>
            </w:r>
            <w:r>
              <w:rPr>
                <w:rFonts w:ascii="Times New Roman" w:hAnsi="Times New Roman" w:cs="Times New Roman"/>
                <w:sz w:val="21"/>
                <w:szCs w:val="21"/>
              </w:rPr>
              <w:t>Tour Guide Practice</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ZX2860</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现代服务业管理</w:t>
            </w:r>
            <w:r>
              <w:rPr>
                <w:rFonts w:hint="eastAsia" w:ascii="Times New Roman" w:hAnsi="Times New Roman" w:cs="Times New Roman"/>
                <w:sz w:val="21"/>
                <w:szCs w:val="21"/>
              </w:rPr>
              <w:t xml:space="preserve"> </w:t>
            </w:r>
            <w:r>
              <w:rPr>
                <w:rFonts w:ascii="Times New Roman" w:hAnsi="Times New Roman" w:cs="Times New Roman"/>
                <w:sz w:val="21"/>
                <w:szCs w:val="21"/>
              </w:rPr>
              <w:t>Modern service management</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ZX2873</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饮食文化概论</w:t>
            </w:r>
            <w:r>
              <w:rPr>
                <w:rFonts w:hint="eastAsia" w:ascii="Times New Roman" w:hAnsi="Times New Roman" w:cs="Times New Roman"/>
                <w:sz w:val="21"/>
                <w:szCs w:val="21"/>
              </w:rPr>
              <w:t xml:space="preserve"> </w:t>
            </w:r>
            <w:r>
              <w:rPr>
                <w:rFonts w:ascii="Times New Roman" w:hAnsi="Times New Roman" w:cs="Times New Roman"/>
                <w:sz w:val="21"/>
                <w:szCs w:val="21"/>
              </w:rPr>
              <w:t>Introduction to Diet   Culture</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ZX2835</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旅游电子商务</w:t>
            </w:r>
            <w:r>
              <w:rPr>
                <w:rFonts w:ascii="Times New Roman" w:hAnsi="Times New Roman" w:cs="Times New Roman"/>
                <w:sz w:val="21"/>
                <w:szCs w:val="21"/>
              </w:rPr>
              <w:t>Tourism E-Commerce</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ZX2808</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公共营养学</w:t>
            </w:r>
            <w:r>
              <w:rPr>
                <w:rFonts w:ascii="Times New Roman" w:hAnsi="Times New Roman" w:cs="Times New Roman"/>
                <w:sz w:val="21"/>
                <w:szCs w:val="21"/>
              </w:rPr>
              <w:t>Communal Nutriology</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ZX2851</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烹饪工艺基础</w:t>
            </w:r>
            <w:r>
              <w:rPr>
                <w:rFonts w:ascii="Times New Roman" w:hAnsi="Times New Roman" w:cs="Times New Roman"/>
                <w:sz w:val="21"/>
                <w:szCs w:val="21"/>
              </w:rPr>
              <w:t>Basic Cuisine Technology</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ZX2833</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酒品与饮料</w:t>
            </w:r>
            <w:r>
              <w:rPr>
                <w:rFonts w:ascii="Times New Roman" w:hAnsi="Times New Roman" w:cs="Times New Roman"/>
                <w:sz w:val="21"/>
                <w:szCs w:val="21"/>
              </w:rPr>
              <w:t> Wine and Beverage</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ZX2805</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茶艺与茶道</w:t>
            </w:r>
            <w:r>
              <w:rPr>
                <w:rFonts w:ascii="Times New Roman" w:hAnsi="Times New Roman" w:cs="Times New Roman"/>
                <w:sz w:val="21"/>
                <w:szCs w:val="21"/>
              </w:rPr>
              <w:t>Art and Technology of   Making Tea</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ZX2212</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研究方法</w:t>
            </w:r>
            <w:r>
              <w:rPr>
                <w:rFonts w:hint="eastAsia" w:ascii="Times New Roman" w:cs="Times New Roman"/>
                <w:sz w:val="21"/>
                <w:szCs w:val="21"/>
              </w:rPr>
              <w:t xml:space="preserve"> </w:t>
            </w:r>
            <w:r>
              <w:rPr>
                <w:rFonts w:ascii="Times New Roman" w:hAnsi="Times New Roman" w:cs="Times New Roman"/>
                <w:sz w:val="21"/>
                <w:szCs w:val="21"/>
              </w:rPr>
              <w:t>Research</w:t>
            </w:r>
            <w:r>
              <w:rPr>
                <w:rFonts w:hint="eastAsia" w:ascii="Times New Roman" w:hAnsi="Times New Roman" w:cs="Times New Roman"/>
                <w:sz w:val="21"/>
                <w:szCs w:val="21"/>
              </w:rPr>
              <w:t xml:space="preserve"> M</w:t>
            </w:r>
            <w:r>
              <w:rPr>
                <w:rFonts w:ascii="Times New Roman" w:hAnsi="Times New Roman" w:cs="Times New Roman"/>
                <w:sz w:val="21"/>
                <w:szCs w:val="21"/>
              </w:rPr>
              <w:t>ethods</w:t>
            </w:r>
            <w:r>
              <w:rPr>
                <w:rFonts w:hint="eastAsia" w:ascii="Times New Roman" w:hAnsi="Times New Roman" w:cs="Times New Roman"/>
                <w:sz w:val="21"/>
                <w:szCs w:val="21"/>
              </w:rPr>
              <w:t xml:space="preserve"> </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ZX2252</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现代企业制度</w:t>
            </w:r>
            <w:r>
              <w:rPr>
                <w:rFonts w:ascii="Times New Roman" w:hAnsi="Times New Roman" w:cs="Times New Roman"/>
                <w:sz w:val="21"/>
                <w:szCs w:val="21"/>
              </w:rPr>
              <w:t>Modern Enterprise System</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ZX3131</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供应链管理</w:t>
            </w:r>
            <w:r>
              <w:rPr>
                <w:rFonts w:ascii="Times New Roman" w:hAnsi="Times New Roman" w:cs="Times New Roman"/>
                <w:sz w:val="21"/>
                <w:szCs w:val="21"/>
              </w:rPr>
              <w:t>Supply Chain Management</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ZX1670</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证券投资</w:t>
            </w:r>
            <w:r>
              <w:rPr>
                <w:rFonts w:ascii="Times New Roman" w:hAnsi="Times New Roman" w:cs="Times New Roman"/>
                <w:sz w:val="21"/>
                <w:szCs w:val="21"/>
              </w:rPr>
              <w:t>Securities Investment</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0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ZX1324</w:t>
            </w:r>
          </w:p>
        </w:tc>
        <w:tc>
          <w:tcPr>
            <w:tcW w:w="322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外贸函电</w:t>
            </w:r>
            <w:r>
              <w:rPr>
                <w:rFonts w:ascii="Times New Roman" w:hAnsi="Times New Roman" w:cs="Times New Roman"/>
                <w:sz w:val="21"/>
                <w:szCs w:val="21"/>
              </w:rPr>
              <w:t> International Business   Correspondence</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135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4932"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专业选修课程小计</w:t>
            </w:r>
            <w:r>
              <w:rPr>
                <w:rFonts w:ascii="Times New Roman" w:hAnsi="Times New Roman" w:cs="Times New Roman"/>
                <w:sz w:val="21"/>
                <w:szCs w:val="21"/>
              </w:rPr>
              <w:t>Subtotal</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504</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6288"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课程教学小计</w:t>
            </w:r>
            <w:r>
              <w:rPr>
                <w:rFonts w:ascii="Times New Roman" w:hAnsi="Times New Roman" w:cs="Times New Roman"/>
                <w:sz w:val="21"/>
                <w:szCs w:val="21"/>
              </w:rPr>
              <w:t> Subtotal</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147</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2646/120</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801"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实践与实验课程</w:t>
            </w:r>
            <w:r>
              <w:rPr>
                <w:rFonts w:ascii="Times New Roman" w:hAnsi="Times New Roman" w:cs="Times New Roman"/>
                <w:sz w:val="21"/>
                <w:szCs w:val="21"/>
              </w:rPr>
              <w:t>Practice and Experiment</w:t>
            </w:r>
          </w:p>
        </w:tc>
        <w:tc>
          <w:tcPr>
            <w:tcW w:w="1720"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学校</w:t>
            </w:r>
            <w:r>
              <w:rPr>
                <w:rFonts w:ascii="Times New Roman" w:hAnsi="Times New Roman" w:cs="Times New Roman"/>
                <w:sz w:val="21"/>
                <w:szCs w:val="21"/>
              </w:rPr>
              <w:br w:type="textWrapping"/>
            </w:r>
            <w:r>
              <w:rPr>
                <w:rFonts w:ascii="Times New Roman" w:cs="Times New Roman"/>
                <w:sz w:val="21"/>
                <w:szCs w:val="21"/>
              </w:rPr>
              <w:t>统一</w:t>
            </w:r>
          </w:p>
          <w:p>
            <w:pPr>
              <w:rPr>
                <w:rFonts w:ascii="Times New Roman" w:hAnsi="Times New Roman" w:cs="Times New Roman"/>
                <w:sz w:val="21"/>
                <w:szCs w:val="21"/>
              </w:rPr>
            </w:pPr>
            <w:r>
              <w:rPr>
                <w:rFonts w:ascii="Times New Roman" w:cs="Times New Roman"/>
                <w:sz w:val="21"/>
                <w:szCs w:val="21"/>
              </w:rPr>
              <w:t>规定</w:t>
            </w:r>
            <w:r>
              <w:rPr>
                <w:rFonts w:ascii="Times New Roman" w:hAnsi="Times New Roman" w:cs="Times New Roman"/>
                <w:sz w:val="21"/>
                <w:szCs w:val="21"/>
              </w:rPr>
              <w:t>College-</w:t>
            </w:r>
            <w:r>
              <w:rPr>
                <w:rFonts w:ascii="Times New Roman" w:hAnsi="Times New Roman" w:cs="Times New Roman"/>
                <w:sz w:val="21"/>
                <w:szCs w:val="21"/>
              </w:rPr>
              <w:br w:type="textWrapping"/>
            </w:r>
            <w:r>
              <w:rPr>
                <w:rFonts w:ascii="Times New Roman" w:hAnsi="Times New Roman" w:cs="Times New Roman"/>
                <w:sz w:val="21"/>
                <w:szCs w:val="21"/>
              </w:rPr>
              <w:t>   Required</w:t>
            </w:r>
          </w:p>
        </w:tc>
        <w:tc>
          <w:tcPr>
            <w:tcW w:w="896"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SY9990</w:t>
            </w:r>
          </w:p>
        </w:tc>
        <w:tc>
          <w:tcPr>
            <w:tcW w:w="2871"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形势与政策</w:t>
            </w:r>
            <w:r>
              <w:rPr>
                <w:rFonts w:ascii="Times New Roman" w:hAnsi="Times New Roman" w:cs="Times New Roman"/>
                <w:sz w:val="21"/>
                <w:szCs w:val="21"/>
              </w:rPr>
              <w:t>Current Affairs and Policy</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801"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20"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896"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SY9995</w:t>
            </w:r>
          </w:p>
        </w:tc>
        <w:tc>
          <w:tcPr>
            <w:tcW w:w="2871"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军事理论与军事训练</w:t>
            </w:r>
            <w:r>
              <w:rPr>
                <w:rFonts w:ascii="Times New Roman" w:hAnsi="Times New Roman" w:cs="Times New Roman"/>
                <w:sz w:val="21"/>
                <w:szCs w:val="21"/>
              </w:rPr>
              <w:t> Military Theory and   Training</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w:t>
            </w:r>
          </w:p>
        </w:tc>
      </w:tr>
      <w:tr>
        <w:tblPrEx>
          <w:tblCellMar>
            <w:top w:w="0" w:type="dxa"/>
            <w:left w:w="131" w:type="dxa"/>
            <w:bottom w:w="0" w:type="dxa"/>
            <w:right w:w="131" w:type="dxa"/>
          </w:tblCellMar>
        </w:tblPrEx>
        <w:trPr>
          <w:trHeight w:val="281" w:hRule="atLeast"/>
          <w:jc w:val="center"/>
        </w:trPr>
        <w:tc>
          <w:tcPr>
            <w:tcW w:w="801"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20"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896"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SY9998</w:t>
            </w:r>
          </w:p>
        </w:tc>
        <w:tc>
          <w:tcPr>
            <w:tcW w:w="2871"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毕业实习</w:t>
            </w:r>
            <w:r>
              <w:rPr>
                <w:rFonts w:ascii="Times New Roman" w:hAnsi="Times New Roman" w:cs="Times New Roman"/>
                <w:sz w:val="21"/>
                <w:szCs w:val="21"/>
              </w:rPr>
              <w:t>Graduation Practice</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6</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801"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20"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896"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SY9999</w:t>
            </w:r>
          </w:p>
        </w:tc>
        <w:tc>
          <w:tcPr>
            <w:tcW w:w="2871"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毕业论文（设计）</w:t>
            </w:r>
            <w:r>
              <w:rPr>
                <w:rFonts w:ascii="Times New Roman" w:hAnsi="Times New Roman" w:cs="Times New Roman"/>
                <w:sz w:val="21"/>
                <w:szCs w:val="21"/>
              </w:rPr>
              <w:t>Graduation Thesis   (Project)</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6</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7-8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801"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20"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896"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SY9994</w:t>
            </w:r>
          </w:p>
        </w:tc>
        <w:tc>
          <w:tcPr>
            <w:tcW w:w="2871"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社会实践</w:t>
            </w:r>
            <w:r>
              <w:rPr>
                <w:rFonts w:ascii="Times New Roman" w:hAnsi="Times New Roman" w:cs="Times New Roman"/>
                <w:sz w:val="21"/>
                <w:szCs w:val="21"/>
              </w:rPr>
              <w:t>Social Practice</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801"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20"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专业</w:t>
            </w:r>
            <w:r>
              <w:rPr>
                <w:rFonts w:ascii="Times New Roman" w:hAnsi="Times New Roman" w:cs="Times New Roman"/>
                <w:sz w:val="21"/>
                <w:szCs w:val="21"/>
              </w:rPr>
              <w:br w:type="textWrapping"/>
            </w:r>
            <w:r>
              <w:rPr>
                <w:rFonts w:ascii="Times New Roman" w:cs="Times New Roman"/>
                <w:sz w:val="21"/>
                <w:szCs w:val="21"/>
              </w:rPr>
              <w:t>自行</w:t>
            </w:r>
            <w:r>
              <w:rPr>
                <w:rFonts w:ascii="Times New Roman" w:hAnsi="Times New Roman" w:cs="Times New Roman"/>
                <w:sz w:val="21"/>
                <w:szCs w:val="21"/>
              </w:rPr>
              <w:br w:type="textWrapping"/>
            </w:r>
            <w:r>
              <w:rPr>
                <w:rFonts w:ascii="Times New Roman" w:cs="Times New Roman"/>
                <w:sz w:val="21"/>
                <w:szCs w:val="21"/>
              </w:rPr>
              <w:t>安排</w:t>
            </w:r>
            <w:r>
              <w:rPr>
                <w:rFonts w:ascii="Times New Roman" w:hAnsi="Times New Roman" w:cs="Times New Roman"/>
                <w:sz w:val="21"/>
                <w:szCs w:val="21"/>
              </w:rPr>
              <w:t>School-</w:t>
            </w:r>
            <w:r>
              <w:rPr>
                <w:rFonts w:ascii="Times New Roman" w:hAnsi="Times New Roman" w:cs="Times New Roman"/>
                <w:sz w:val="21"/>
                <w:szCs w:val="21"/>
              </w:rPr>
              <w:br w:type="textWrapping"/>
            </w:r>
            <w:r>
              <w:rPr>
                <w:rFonts w:ascii="Times New Roman" w:hAnsi="Times New Roman" w:cs="Times New Roman"/>
                <w:sz w:val="21"/>
                <w:szCs w:val="21"/>
              </w:rPr>
              <w:t>   Required</w:t>
            </w:r>
          </w:p>
        </w:tc>
        <w:tc>
          <w:tcPr>
            <w:tcW w:w="896"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SY2805</w:t>
            </w:r>
          </w:p>
        </w:tc>
        <w:tc>
          <w:tcPr>
            <w:tcW w:w="2871"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酒店服务技能实训</w:t>
            </w:r>
            <w:r>
              <w:rPr>
                <w:rFonts w:ascii="Times New Roman" w:hAnsi="Times New Roman" w:cs="Times New Roman"/>
                <w:sz w:val="21"/>
                <w:szCs w:val="21"/>
              </w:rPr>
              <w:t>Hotel Service Practice</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801"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20"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896"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SY2804</w:t>
            </w:r>
          </w:p>
        </w:tc>
        <w:tc>
          <w:tcPr>
            <w:tcW w:w="2871"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酒店督导实训</w:t>
            </w:r>
            <w:r>
              <w:rPr>
                <w:rFonts w:ascii="Times New Roman" w:hAnsi="Times New Roman" w:cs="Times New Roman"/>
                <w:sz w:val="21"/>
                <w:szCs w:val="21"/>
              </w:rPr>
              <w:t>Hotel Supervision Practice</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6</w:t>
            </w:r>
          </w:p>
        </w:tc>
      </w:tr>
      <w:tr>
        <w:tblPrEx>
          <w:tblCellMar>
            <w:top w:w="0" w:type="dxa"/>
            <w:left w:w="131" w:type="dxa"/>
            <w:bottom w:w="0" w:type="dxa"/>
            <w:right w:w="131" w:type="dxa"/>
          </w:tblCellMar>
        </w:tblPrEx>
        <w:trPr>
          <w:trHeight w:val="281" w:hRule="atLeast"/>
          <w:jc w:val="center"/>
        </w:trPr>
        <w:tc>
          <w:tcPr>
            <w:tcW w:w="801"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720"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896"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SY2806</w:t>
            </w:r>
          </w:p>
        </w:tc>
        <w:tc>
          <w:tcPr>
            <w:tcW w:w="2871"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酒店运营管理实训</w:t>
            </w:r>
            <w:r>
              <w:rPr>
                <w:rFonts w:ascii="Times New Roman" w:hAnsi="Times New Roman" w:cs="Times New Roman"/>
                <w:sz w:val="21"/>
                <w:szCs w:val="21"/>
              </w:rPr>
              <w:t>Hotel Operation Management</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36/36</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801"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5487"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实践与实验课程小计</w:t>
            </w:r>
            <w:r>
              <w:rPr>
                <w:rFonts w:ascii="Times New Roman" w:hAnsi="Times New Roman" w:cs="Times New Roman"/>
                <w:sz w:val="21"/>
                <w:szCs w:val="21"/>
              </w:rPr>
              <w:t>Subtotal</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24</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281" w:hRule="atLeast"/>
          <w:jc w:val="center"/>
        </w:trPr>
        <w:tc>
          <w:tcPr>
            <w:tcW w:w="6288"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所有课程合计</w:t>
            </w:r>
            <w:r>
              <w:rPr>
                <w:rFonts w:ascii="Times New Roman" w:hAnsi="Times New Roman" w:cs="Times New Roman"/>
                <w:sz w:val="21"/>
                <w:szCs w:val="21"/>
              </w:rPr>
              <w:t>Total</w:t>
            </w:r>
          </w:p>
        </w:tc>
        <w:tc>
          <w:tcPr>
            <w:tcW w:w="96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160</w:t>
            </w:r>
          </w:p>
        </w:tc>
        <w:tc>
          <w:tcPr>
            <w:tcW w:w="100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82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jc w:val="center"/>
        </w:trPr>
        <w:tc>
          <w:tcPr>
            <w:tcW w:w="801" w:type="dxa"/>
            <w:tcBorders>
              <w:top w:val="nil"/>
              <w:left w:val="nil"/>
              <w:bottom w:val="nil"/>
              <w:right w:val="nil"/>
            </w:tcBorders>
            <w:shd w:val="clear" w:color="auto" w:fill="auto"/>
            <w:vAlign w:val="center"/>
          </w:tcPr>
          <w:p>
            <w:pPr>
              <w:rPr>
                <w:rFonts w:ascii="Times New Roman" w:hAnsi="Times New Roman" w:cs="Times New Roman"/>
                <w:sz w:val="21"/>
                <w:szCs w:val="21"/>
              </w:rPr>
            </w:pPr>
          </w:p>
        </w:tc>
        <w:tc>
          <w:tcPr>
            <w:tcW w:w="555" w:type="dxa"/>
            <w:tcBorders>
              <w:top w:val="nil"/>
              <w:left w:val="nil"/>
              <w:bottom w:val="nil"/>
              <w:right w:val="nil"/>
            </w:tcBorders>
            <w:shd w:val="clear" w:color="auto" w:fill="auto"/>
            <w:vAlign w:val="center"/>
          </w:tcPr>
          <w:p>
            <w:pPr>
              <w:rPr>
                <w:rFonts w:ascii="Times New Roman" w:hAnsi="Times New Roman" w:cs="Times New Roman"/>
                <w:sz w:val="21"/>
                <w:szCs w:val="21"/>
              </w:rPr>
            </w:pPr>
          </w:p>
        </w:tc>
        <w:tc>
          <w:tcPr>
            <w:tcW w:w="1165" w:type="dxa"/>
            <w:tcBorders>
              <w:top w:val="nil"/>
              <w:left w:val="nil"/>
              <w:bottom w:val="nil"/>
              <w:right w:val="nil"/>
            </w:tcBorders>
            <w:shd w:val="clear" w:color="auto" w:fill="auto"/>
            <w:vAlign w:val="center"/>
          </w:tcPr>
          <w:p>
            <w:pPr>
              <w:rPr>
                <w:rFonts w:ascii="Times New Roman" w:hAnsi="Times New Roman" w:cs="Times New Roman"/>
                <w:sz w:val="21"/>
                <w:szCs w:val="21"/>
              </w:rPr>
            </w:pPr>
          </w:p>
        </w:tc>
        <w:tc>
          <w:tcPr>
            <w:tcW w:w="539" w:type="dxa"/>
            <w:tcBorders>
              <w:top w:val="nil"/>
              <w:left w:val="nil"/>
              <w:bottom w:val="nil"/>
              <w:right w:val="nil"/>
            </w:tcBorders>
            <w:shd w:val="clear" w:color="auto" w:fill="auto"/>
            <w:vAlign w:val="center"/>
          </w:tcPr>
          <w:p>
            <w:pPr>
              <w:rPr>
                <w:rFonts w:ascii="Times New Roman" w:hAnsi="Times New Roman" w:cs="Times New Roman"/>
                <w:sz w:val="21"/>
                <w:szCs w:val="21"/>
              </w:rPr>
            </w:pPr>
          </w:p>
        </w:tc>
        <w:tc>
          <w:tcPr>
            <w:tcW w:w="357" w:type="dxa"/>
            <w:tcBorders>
              <w:top w:val="nil"/>
              <w:left w:val="nil"/>
              <w:bottom w:val="nil"/>
              <w:right w:val="nil"/>
            </w:tcBorders>
            <w:shd w:val="clear" w:color="auto" w:fill="auto"/>
            <w:vAlign w:val="center"/>
          </w:tcPr>
          <w:p>
            <w:pPr>
              <w:rPr>
                <w:rFonts w:ascii="Times New Roman" w:hAnsi="Times New Roman" w:cs="Times New Roman"/>
                <w:sz w:val="21"/>
                <w:szCs w:val="21"/>
              </w:rPr>
            </w:pPr>
          </w:p>
        </w:tc>
        <w:tc>
          <w:tcPr>
            <w:tcW w:w="2871" w:type="dxa"/>
            <w:tcBorders>
              <w:top w:val="nil"/>
              <w:left w:val="nil"/>
              <w:bottom w:val="nil"/>
              <w:right w:val="nil"/>
            </w:tcBorders>
            <w:shd w:val="clear" w:color="auto" w:fill="auto"/>
            <w:vAlign w:val="center"/>
          </w:tcPr>
          <w:p>
            <w:pPr>
              <w:rPr>
                <w:rFonts w:ascii="Times New Roman" w:hAnsi="Times New Roman" w:cs="Times New Roman"/>
                <w:sz w:val="21"/>
                <w:szCs w:val="21"/>
              </w:rPr>
            </w:pPr>
          </w:p>
        </w:tc>
        <w:tc>
          <w:tcPr>
            <w:tcW w:w="962" w:type="dxa"/>
            <w:tcBorders>
              <w:top w:val="nil"/>
              <w:left w:val="nil"/>
              <w:bottom w:val="nil"/>
              <w:right w:val="nil"/>
            </w:tcBorders>
            <w:shd w:val="clear" w:color="auto" w:fill="auto"/>
            <w:vAlign w:val="center"/>
          </w:tcPr>
          <w:p>
            <w:pPr>
              <w:rPr>
                <w:rFonts w:ascii="Times New Roman" w:hAnsi="Times New Roman" w:cs="Times New Roman"/>
                <w:sz w:val="21"/>
                <w:szCs w:val="21"/>
              </w:rPr>
            </w:pPr>
          </w:p>
        </w:tc>
        <w:tc>
          <w:tcPr>
            <w:tcW w:w="1009" w:type="dxa"/>
            <w:tcBorders>
              <w:top w:val="nil"/>
              <w:left w:val="nil"/>
              <w:bottom w:val="nil"/>
              <w:right w:val="nil"/>
            </w:tcBorders>
            <w:shd w:val="clear" w:color="auto" w:fill="auto"/>
            <w:vAlign w:val="center"/>
          </w:tcPr>
          <w:p>
            <w:pPr>
              <w:rPr>
                <w:rFonts w:ascii="Times New Roman" w:hAnsi="Times New Roman" w:cs="Times New Roman"/>
                <w:sz w:val="21"/>
                <w:szCs w:val="21"/>
              </w:rPr>
            </w:pPr>
          </w:p>
        </w:tc>
        <w:tc>
          <w:tcPr>
            <w:tcW w:w="829" w:type="dxa"/>
            <w:tcBorders>
              <w:top w:val="nil"/>
              <w:left w:val="nil"/>
              <w:bottom w:val="nil"/>
              <w:right w:val="nil"/>
            </w:tcBorders>
            <w:shd w:val="clear" w:color="auto" w:fill="auto"/>
            <w:vAlign w:val="center"/>
          </w:tcPr>
          <w:p>
            <w:pPr>
              <w:rPr>
                <w:rFonts w:ascii="Times New Roman" w:hAnsi="Times New Roman" w:cs="Times New Roman"/>
                <w:sz w:val="21"/>
                <w:szCs w:val="21"/>
              </w:rPr>
            </w:pPr>
          </w:p>
        </w:tc>
      </w:tr>
    </w:tbl>
    <w:p>
      <w:pPr>
        <w:ind w:left="440" w:leftChars="200" w:right="440" w:rightChars="200"/>
        <w:rPr>
          <w:sz w:val="18"/>
          <w:szCs w:val="18"/>
        </w:rPr>
      </w:pPr>
      <w:r>
        <w:rPr>
          <w:rFonts w:hint="eastAsia"/>
          <w:sz w:val="18"/>
          <w:szCs w:val="18"/>
        </w:rPr>
        <w:t>说明：</w:t>
      </w:r>
      <w:r>
        <w:rPr>
          <w:sz w:val="18"/>
          <w:szCs w:val="18"/>
        </w:rPr>
        <w:t>1.</w:t>
      </w:r>
      <w:r>
        <w:rPr>
          <w:rFonts w:hint="eastAsia"/>
          <w:sz w:val="18"/>
          <w:szCs w:val="18"/>
        </w:rPr>
        <w:t>在</w:t>
      </w:r>
      <w:r>
        <w:rPr>
          <w:sz w:val="18"/>
          <w:szCs w:val="18"/>
        </w:rPr>
        <w:t>“</w:t>
      </w:r>
      <w:r>
        <w:rPr>
          <w:rFonts w:hint="eastAsia"/>
          <w:sz w:val="18"/>
          <w:szCs w:val="18"/>
        </w:rPr>
        <w:t>学时</w:t>
      </w:r>
      <w:r>
        <w:rPr>
          <w:sz w:val="18"/>
          <w:szCs w:val="18"/>
        </w:rPr>
        <w:t>”</w:t>
      </w:r>
      <w:r>
        <w:rPr>
          <w:rFonts w:hint="eastAsia"/>
          <w:sz w:val="18"/>
          <w:szCs w:val="18"/>
        </w:rPr>
        <w:t>栏中，包含实践学时的课程，用</w:t>
      </w:r>
      <w:r>
        <w:rPr>
          <w:sz w:val="18"/>
          <w:szCs w:val="18"/>
        </w:rPr>
        <w:t>“/”</w:t>
      </w:r>
      <w:r>
        <w:rPr>
          <w:rFonts w:hint="eastAsia"/>
          <w:sz w:val="18"/>
          <w:szCs w:val="18"/>
        </w:rPr>
        <w:t>对总学时和实践学时加以区分，</w:t>
      </w:r>
      <w:r>
        <w:rPr>
          <w:sz w:val="18"/>
          <w:szCs w:val="18"/>
        </w:rPr>
        <w:t>“/”</w:t>
      </w:r>
      <w:r>
        <w:rPr>
          <w:rFonts w:hint="eastAsia"/>
          <w:sz w:val="18"/>
          <w:szCs w:val="18"/>
        </w:rPr>
        <w:t>后的数字为实践与实验学时；</w:t>
      </w:r>
    </w:p>
    <w:p>
      <w:pPr>
        <w:ind w:left="440" w:leftChars="200" w:right="440" w:rightChars="200"/>
        <w:rPr>
          <w:sz w:val="18"/>
          <w:szCs w:val="18"/>
        </w:rPr>
      </w:pPr>
      <w:r>
        <w:rPr>
          <w:sz w:val="18"/>
          <w:szCs w:val="18"/>
        </w:rPr>
        <w:t>2. “√”</w:t>
      </w:r>
      <w:r>
        <w:rPr>
          <w:rFonts w:hint="eastAsia"/>
          <w:sz w:val="18"/>
          <w:szCs w:val="18"/>
        </w:rPr>
        <w:t>表示该类课程（教学环节）没有周学时要求，学生按照学分要求在相应学期完成。</w:t>
      </w:r>
    </w:p>
    <w:p>
      <w:r>
        <w:t>  </w:t>
      </w:r>
    </w:p>
    <w:p>
      <w:pPr>
        <w:spacing w:line="312" w:lineRule="auto"/>
        <w:ind w:left="215" w:right="471" w:firstLine="482" w:firstLineChars="200"/>
        <w:jc w:val="both"/>
        <w:rPr>
          <w:rFonts w:hint="eastAsia"/>
          <w:b/>
          <w:sz w:val="24"/>
        </w:rPr>
      </w:pPr>
    </w:p>
    <w:p>
      <w:pPr>
        <w:spacing w:line="312" w:lineRule="auto"/>
        <w:ind w:left="215" w:right="471" w:firstLine="482" w:firstLineChars="200"/>
        <w:jc w:val="both"/>
        <w:rPr>
          <w:rFonts w:hint="eastAsia"/>
          <w:b/>
          <w:sz w:val="24"/>
        </w:rPr>
      </w:pPr>
    </w:p>
    <w:p>
      <w:pPr>
        <w:spacing w:line="312" w:lineRule="auto"/>
        <w:ind w:left="215" w:right="471" w:firstLine="482" w:firstLineChars="200"/>
        <w:jc w:val="both"/>
        <w:rPr>
          <w:rFonts w:hint="eastAsia"/>
          <w:b/>
          <w:sz w:val="24"/>
        </w:rPr>
      </w:pPr>
    </w:p>
    <w:p>
      <w:pPr>
        <w:spacing w:line="312" w:lineRule="auto"/>
        <w:ind w:left="215" w:right="471" w:firstLine="482" w:firstLineChars="200"/>
        <w:jc w:val="both"/>
        <w:rPr>
          <w:rFonts w:hint="eastAsia"/>
          <w:b/>
          <w:sz w:val="24"/>
        </w:rPr>
      </w:pPr>
    </w:p>
    <w:p>
      <w:pPr>
        <w:spacing w:line="312" w:lineRule="auto"/>
        <w:ind w:left="215" w:right="471" w:firstLine="482" w:firstLineChars="200"/>
        <w:jc w:val="both"/>
        <w:rPr>
          <w:rFonts w:hint="eastAsia"/>
          <w:b/>
          <w:sz w:val="24"/>
        </w:rPr>
      </w:pPr>
    </w:p>
    <w:p>
      <w:pPr>
        <w:spacing w:line="312" w:lineRule="auto"/>
        <w:ind w:left="215" w:right="471" w:firstLine="482" w:firstLineChars="200"/>
        <w:jc w:val="both"/>
        <w:rPr>
          <w:rFonts w:hint="eastAsia"/>
          <w:b/>
          <w:sz w:val="24"/>
        </w:rPr>
      </w:pPr>
    </w:p>
    <w:p>
      <w:pPr>
        <w:spacing w:line="312" w:lineRule="auto"/>
        <w:ind w:left="215" w:right="471" w:firstLine="482" w:firstLineChars="200"/>
        <w:jc w:val="both"/>
        <w:rPr>
          <w:rFonts w:hint="eastAsia"/>
          <w:b/>
          <w:sz w:val="24"/>
        </w:rPr>
      </w:pPr>
    </w:p>
    <w:p>
      <w:pPr>
        <w:spacing w:line="312" w:lineRule="auto"/>
        <w:ind w:left="215" w:right="471" w:firstLine="482" w:firstLineChars="200"/>
        <w:jc w:val="both"/>
        <w:rPr>
          <w:rFonts w:hint="eastAsia"/>
          <w:b/>
          <w:sz w:val="24"/>
        </w:rPr>
      </w:pPr>
    </w:p>
    <w:p>
      <w:pPr>
        <w:spacing w:line="312" w:lineRule="auto"/>
        <w:ind w:left="215" w:right="471" w:firstLine="482" w:firstLineChars="200"/>
        <w:jc w:val="both"/>
        <w:rPr>
          <w:rFonts w:hint="eastAsia"/>
          <w:b/>
          <w:sz w:val="24"/>
        </w:rPr>
      </w:pPr>
    </w:p>
    <w:p>
      <w:pPr>
        <w:spacing w:line="312" w:lineRule="auto"/>
        <w:ind w:left="215" w:right="471" w:firstLine="482" w:firstLineChars="200"/>
        <w:jc w:val="both"/>
        <w:rPr>
          <w:rFonts w:hint="eastAsia"/>
          <w:b/>
          <w:sz w:val="24"/>
        </w:rPr>
      </w:pPr>
    </w:p>
    <w:p>
      <w:pPr>
        <w:spacing w:line="312" w:lineRule="auto"/>
        <w:ind w:left="215" w:right="471" w:firstLine="482" w:firstLineChars="200"/>
        <w:jc w:val="both"/>
        <w:rPr>
          <w:rFonts w:hint="eastAsia"/>
          <w:b/>
          <w:sz w:val="24"/>
        </w:rPr>
      </w:pPr>
    </w:p>
    <w:p>
      <w:pPr>
        <w:spacing w:line="312" w:lineRule="auto"/>
        <w:ind w:left="215" w:right="471" w:firstLine="482" w:firstLineChars="200"/>
        <w:jc w:val="both"/>
        <w:rPr>
          <w:rFonts w:hint="eastAsia"/>
          <w:b/>
          <w:sz w:val="24"/>
        </w:rPr>
      </w:pPr>
    </w:p>
    <w:p>
      <w:pPr>
        <w:spacing w:line="312" w:lineRule="auto"/>
        <w:ind w:left="215" w:right="471" w:firstLine="482" w:firstLineChars="200"/>
        <w:jc w:val="both"/>
        <w:rPr>
          <w:rFonts w:hint="eastAsia"/>
          <w:b/>
          <w:sz w:val="24"/>
        </w:rPr>
      </w:pPr>
    </w:p>
    <w:p>
      <w:pPr>
        <w:spacing w:line="312" w:lineRule="auto"/>
        <w:ind w:left="215" w:right="471" w:firstLine="482" w:firstLineChars="200"/>
        <w:jc w:val="both"/>
        <w:rPr>
          <w:b/>
          <w:sz w:val="24"/>
        </w:rPr>
      </w:pPr>
      <w:r>
        <w:rPr>
          <w:rFonts w:hint="eastAsia"/>
          <w:b/>
          <w:sz w:val="24"/>
        </w:rPr>
        <w:t>十一、全程教学计划表</w:t>
      </w:r>
    </w:p>
    <w:tbl>
      <w:tblPr>
        <w:tblStyle w:val="11"/>
        <w:tblW w:w="1031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31" w:type="dxa"/>
          <w:bottom w:w="0" w:type="dxa"/>
          <w:right w:w="131" w:type="dxa"/>
        </w:tblCellMar>
      </w:tblPr>
      <w:tblGrid>
        <w:gridCol w:w="1350"/>
        <w:gridCol w:w="1009"/>
        <w:gridCol w:w="2939"/>
        <w:gridCol w:w="652"/>
        <w:gridCol w:w="1056"/>
        <w:gridCol w:w="472"/>
        <w:gridCol w:w="472"/>
        <w:gridCol w:w="378"/>
        <w:gridCol w:w="378"/>
        <w:gridCol w:w="472"/>
        <w:gridCol w:w="378"/>
        <w:gridCol w:w="378"/>
        <w:gridCol w:w="3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课程</w:t>
            </w:r>
          </w:p>
          <w:p>
            <w:pPr>
              <w:rPr>
                <w:rFonts w:ascii="Times New Roman" w:hAnsi="Times New Roman" w:cs="Times New Roman"/>
                <w:sz w:val="21"/>
                <w:szCs w:val="21"/>
              </w:rPr>
            </w:pPr>
            <w:r>
              <w:rPr>
                <w:rFonts w:ascii="Times New Roman" w:cs="Times New Roman"/>
                <w:b/>
                <w:sz w:val="21"/>
                <w:szCs w:val="21"/>
              </w:rPr>
              <w:t>类别</w:t>
            </w:r>
          </w:p>
        </w:tc>
        <w:tc>
          <w:tcPr>
            <w:tcW w:w="3948"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课程名称</w:t>
            </w:r>
          </w:p>
        </w:tc>
        <w:tc>
          <w:tcPr>
            <w:tcW w:w="652"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学分</w:t>
            </w:r>
          </w:p>
        </w:tc>
        <w:tc>
          <w:tcPr>
            <w:tcW w:w="105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学时</w:t>
            </w:r>
          </w:p>
        </w:tc>
        <w:tc>
          <w:tcPr>
            <w:tcW w:w="3306" w:type="dxa"/>
            <w:gridSpan w:val="8"/>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开课学期与周学时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652"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056"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1</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5</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6</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7</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通识</w:t>
            </w:r>
            <w:r>
              <w:rPr>
                <w:rFonts w:ascii="Times New Roman" w:hAnsi="Times New Roman" w:cs="Times New Roman"/>
                <w:sz w:val="21"/>
                <w:szCs w:val="21"/>
              </w:rPr>
              <w:br w:type="textWrapping"/>
            </w:r>
            <w:r>
              <w:rPr>
                <w:rFonts w:ascii="Times New Roman" w:cs="Times New Roman"/>
                <w:sz w:val="21"/>
                <w:szCs w:val="21"/>
              </w:rPr>
              <w:t>必修</w:t>
            </w:r>
            <w:r>
              <w:rPr>
                <w:rFonts w:ascii="Times New Roman" w:hAnsi="Times New Roman" w:cs="Times New Roman"/>
                <w:sz w:val="21"/>
                <w:szCs w:val="21"/>
              </w:rPr>
              <w:br w:type="textWrapping"/>
            </w:r>
            <w:r>
              <w:rPr>
                <w:rFonts w:ascii="Times New Roman" w:cs="Times New Roman"/>
                <w:sz w:val="21"/>
                <w:szCs w:val="21"/>
              </w:rPr>
              <w:t>课程</w:t>
            </w: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思想道德修养与法律基础</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马克思主义基本原理概论</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中国近现代史纲要</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毛泽东思想和中国特色社会主义理论体系概论（</w:t>
            </w:r>
            <w:r>
              <w:rPr>
                <w:rFonts w:ascii="Times New Roman" w:hAnsi="Times New Roman" w:cs="Times New Roman"/>
                <w:sz w:val="21"/>
                <w:szCs w:val="21"/>
              </w:rPr>
              <w:t>1-2</w:t>
            </w:r>
            <w:r>
              <w:rPr>
                <w:rFonts w:ascii="Times New Roman" w:cs="Times New Roman"/>
                <w:sz w:val="21"/>
                <w:szCs w:val="21"/>
              </w:rPr>
              <w:t>）</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6</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108/36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大学语文</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应用写作</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18</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大学英语（</w:t>
            </w:r>
            <w:r>
              <w:rPr>
                <w:rFonts w:ascii="Times New Roman" w:hAnsi="Times New Roman" w:cs="Times New Roman"/>
                <w:b/>
                <w:sz w:val="21"/>
                <w:szCs w:val="21"/>
              </w:rPr>
              <w:t>1-2</w:t>
            </w:r>
            <w:r>
              <w:rPr>
                <w:rFonts w:ascii="Times New Roman" w:cs="Times New Roman"/>
                <w:b/>
                <w:sz w:val="21"/>
                <w:szCs w:val="21"/>
              </w:rPr>
              <w:t>）</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8</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144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4</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大学体育（</w:t>
            </w:r>
            <w:r>
              <w:rPr>
                <w:rFonts w:ascii="Times New Roman" w:hAnsi="Times New Roman" w:cs="Times New Roman"/>
                <w:sz w:val="21"/>
                <w:szCs w:val="21"/>
              </w:rPr>
              <w:t>1-4</w:t>
            </w:r>
            <w:r>
              <w:rPr>
                <w:rFonts w:ascii="Times New Roman" w:cs="Times New Roman"/>
                <w:sz w:val="21"/>
                <w:szCs w:val="21"/>
              </w:rPr>
              <w:t>）</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8</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144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高等数学（</w:t>
            </w:r>
            <w:r>
              <w:rPr>
                <w:rFonts w:ascii="Times New Roman" w:hAnsi="Times New Roman" w:cs="Times New Roman"/>
                <w:b/>
                <w:sz w:val="21"/>
                <w:szCs w:val="21"/>
              </w:rPr>
              <w:t>1-2</w:t>
            </w:r>
            <w:r>
              <w:rPr>
                <w:rFonts w:ascii="Times New Roman" w:cs="Times New Roman"/>
                <w:b/>
                <w:sz w:val="21"/>
                <w:szCs w:val="21"/>
              </w:rPr>
              <w:t>）</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7</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126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4</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线性代数</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概率论与数理统计</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大学计算机基础</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36/18</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法学通论</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18</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就业指导</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18</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通识必修课程小计</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54</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954/72</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15</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19</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9</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7</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通识</w:t>
            </w:r>
            <w:r>
              <w:rPr>
                <w:rFonts w:ascii="Times New Roman" w:hAnsi="Times New Roman" w:cs="Times New Roman"/>
                <w:sz w:val="21"/>
                <w:szCs w:val="21"/>
              </w:rPr>
              <w:br w:type="textWrapping"/>
            </w:r>
            <w:r>
              <w:rPr>
                <w:rFonts w:ascii="Times New Roman" w:cs="Times New Roman"/>
                <w:sz w:val="21"/>
                <w:szCs w:val="21"/>
              </w:rPr>
              <w:t>选修</w:t>
            </w:r>
            <w:r>
              <w:rPr>
                <w:rFonts w:ascii="Times New Roman" w:hAnsi="Times New Roman" w:cs="Times New Roman"/>
                <w:sz w:val="21"/>
                <w:szCs w:val="21"/>
              </w:rPr>
              <w:br w:type="textWrapping"/>
            </w:r>
            <w:r>
              <w:rPr>
                <w:rFonts w:ascii="Times New Roman" w:cs="Times New Roman"/>
                <w:sz w:val="21"/>
                <w:szCs w:val="21"/>
              </w:rPr>
              <w:t>课程</w:t>
            </w: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color w:val="000000" w:themeColor="text1"/>
                <w:sz w:val="21"/>
                <w:szCs w:val="21"/>
              </w:rPr>
            </w:pPr>
            <w:r>
              <w:rPr>
                <w:rFonts w:ascii="Times New Roman" w:cs="Times New Roman"/>
                <w:color w:val="000000" w:themeColor="text1"/>
                <w:sz w:val="21"/>
                <w:szCs w:val="21"/>
              </w:rPr>
              <w:t>在学校公布的</w:t>
            </w:r>
          </w:p>
          <w:p>
            <w:pPr>
              <w:rPr>
                <w:rFonts w:ascii="Times New Roman" w:hAnsi="Times New Roman" w:cs="Times New Roman"/>
                <w:color w:val="000000" w:themeColor="text1"/>
                <w:sz w:val="21"/>
                <w:szCs w:val="21"/>
              </w:rPr>
            </w:pPr>
            <w:r>
              <w:rPr>
                <w:rFonts w:ascii="Times New Roman" w:cs="Times New Roman"/>
                <w:color w:val="000000" w:themeColor="text1"/>
                <w:sz w:val="21"/>
                <w:szCs w:val="21"/>
              </w:rPr>
              <w:t>通识选修课模块中选修</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color w:val="000000" w:themeColor="text1"/>
                <w:sz w:val="21"/>
                <w:szCs w:val="21"/>
              </w:rPr>
            </w:pPr>
            <w:r>
              <w:rPr>
                <w:rFonts w:ascii="Times New Roman" w:cs="Times New Roman"/>
                <w:color w:val="000000" w:themeColor="text1"/>
                <w:sz w:val="21"/>
                <w:szCs w:val="21"/>
              </w:rPr>
              <w:t>通识选修课程小计</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18</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324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专业</w:t>
            </w:r>
            <w:r>
              <w:rPr>
                <w:rFonts w:ascii="Times New Roman" w:hAnsi="Times New Roman" w:cs="Times New Roman"/>
                <w:sz w:val="21"/>
                <w:szCs w:val="21"/>
              </w:rPr>
              <w:br w:type="textWrapping"/>
            </w:r>
            <w:r>
              <w:rPr>
                <w:rFonts w:ascii="Times New Roman" w:cs="Times New Roman"/>
                <w:sz w:val="21"/>
                <w:szCs w:val="21"/>
              </w:rPr>
              <w:t>基础</w:t>
            </w:r>
            <w:r>
              <w:rPr>
                <w:rFonts w:ascii="Times New Roman" w:hAnsi="Times New Roman" w:cs="Times New Roman"/>
                <w:sz w:val="21"/>
                <w:szCs w:val="21"/>
              </w:rPr>
              <w:br w:type="textWrapping"/>
            </w:r>
            <w:r>
              <w:rPr>
                <w:rFonts w:ascii="Times New Roman" w:cs="Times New Roman"/>
                <w:sz w:val="21"/>
                <w:szCs w:val="21"/>
              </w:rPr>
              <w:t>课程</w:t>
            </w: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sz w:val="21"/>
                <w:szCs w:val="21"/>
              </w:rPr>
            </w:pPr>
            <w:r>
              <w:rPr>
                <w:rFonts w:ascii="Times New Roman" w:cs="Times New Roman"/>
                <w:b/>
                <w:sz w:val="21"/>
                <w:szCs w:val="21"/>
              </w:rPr>
              <w:t>管理学</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sz w:val="21"/>
                <w:szCs w:val="21"/>
              </w:rPr>
            </w:pPr>
            <w:r>
              <w:rPr>
                <w:rFonts w:ascii="Times New Roman" w:cs="Times New Roman"/>
                <w:b/>
                <w:sz w:val="21"/>
                <w:szCs w:val="21"/>
              </w:rPr>
              <w:t>经济学</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sz w:val="21"/>
                <w:szCs w:val="21"/>
              </w:rPr>
            </w:pPr>
            <w:r>
              <w:rPr>
                <w:rFonts w:ascii="Times New Roman" w:cs="Times New Roman"/>
                <w:b/>
                <w:sz w:val="21"/>
                <w:szCs w:val="21"/>
              </w:rPr>
              <w:t>旅游消费者行为</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sz w:val="21"/>
                <w:szCs w:val="21"/>
              </w:rPr>
            </w:pPr>
            <w:r>
              <w:rPr>
                <w:rFonts w:ascii="Times New Roman" w:cs="Times New Roman"/>
                <w:b/>
                <w:sz w:val="21"/>
                <w:szCs w:val="21"/>
              </w:rPr>
              <w:t>旅游学概论</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sz w:val="21"/>
                <w:szCs w:val="21"/>
              </w:rPr>
            </w:pPr>
            <w:r>
              <w:rPr>
                <w:rFonts w:ascii="Times New Roman" w:cs="Times New Roman"/>
                <w:b/>
                <w:sz w:val="21"/>
                <w:szCs w:val="21"/>
              </w:rPr>
              <w:t>旅游目的地管理</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sz w:val="21"/>
                <w:szCs w:val="21"/>
              </w:rPr>
            </w:pPr>
            <w:r>
              <w:rPr>
                <w:rFonts w:ascii="Times New Roman" w:cs="Times New Roman"/>
                <w:b/>
                <w:sz w:val="21"/>
                <w:szCs w:val="21"/>
              </w:rPr>
              <w:t>旅游接待业</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sz w:val="21"/>
                <w:szCs w:val="21"/>
              </w:rPr>
            </w:pPr>
            <w:r>
              <w:rPr>
                <w:rFonts w:ascii="Times New Roman" w:cs="Times New Roman"/>
                <w:b/>
                <w:sz w:val="21"/>
                <w:szCs w:val="21"/>
              </w:rPr>
              <w:t>财务管理学</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color w:val="000000" w:themeColor="text1"/>
                <w:sz w:val="21"/>
                <w:szCs w:val="21"/>
              </w:rPr>
            </w:pPr>
            <w:r>
              <w:rPr>
                <w:rFonts w:ascii="Times New Roman" w:cs="Times New Roman"/>
                <w:sz w:val="21"/>
                <w:szCs w:val="21"/>
              </w:rPr>
              <w:t>专业基础课程小计</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21</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378</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6</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专业</w:t>
            </w:r>
            <w:r>
              <w:rPr>
                <w:rFonts w:ascii="Times New Roman" w:hAnsi="Times New Roman" w:cs="Times New Roman"/>
                <w:sz w:val="21"/>
                <w:szCs w:val="21"/>
              </w:rPr>
              <w:br w:type="textWrapping"/>
            </w:r>
            <w:r>
              <w:rPr>
                <w:rFonts w:ascii="Times New Roman" w:cs="Times New Roman"/>
                <w:sz w:val="21"/>
                <w:szCs w:val="21"/>
              </w:rPr>
              <w:t>必修</w:t>
            </w:r>
            <w:r>
              <w:rPr>
                <w:rFonts w:ascii="Times New Roman" w:hAnsi="Times New Roman" w:cs="Times New Roman"/>
                <w:sz w:val="21"/>
                <w:szCs w:val="21"/>
              </w:rPr>
              <w:br w:type="textWrapping"/>
            </w:r>
            <w:r>
              <w:rPr>
                <w:rFonts w:ascii="Times New Roman" w:cs="Times New Roman"/>
                <w:sz w:val="21"/>
                <w:szCs w:val="21"/>
              </w:rPr>
              <w:t>课程</w:t>
            </w: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color w:val="000000" w:themeColor="text1"/>
                <w:sz w:val="21"/>
                <w:szCs w:val="21"/>
              </w:rPr>
            </w:pPr>
            <w:r>
              <w:rPr>
                <w:rFonts w:ascii="Times New Roman" w:cs="Times New Roman"/>
                <w:b/>
                <w:color w:val="000000" w:themeColor="text1"/>
                <w:sz w:val="21"/>
                <w:szCs w:val="21"/>
              </w:rPr>
              <w:t>酒店运营管理</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2</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sz w:val="21"/>
                <w:szCs w:val="21"/>
              </w:rPr>
            </w:pPr>
            <w:r>
              <w:rPr>
                <w:rFonts w:ascii="Times New Roman" w:cs="Times New Roman"/>
                <w:b/>
                <w:sz w:val="21"/>
                <w:szCs w:val="21"/>
              </w:rPr>
              <w:t>酒店管理概论</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酒店服务质量管理</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市场营销</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酒店客户管理</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color w:val="000000" w:themeColor="text1"/>
                <w:sz w:val="21"/>
                <w:szCs w:val="21"/>
              </w:rPr>
            </w:pPr>
            <w:r>
              <w:rPr>
                <w:rFonts w:ascii="Times New Roman" w:cs="Times New Roman"/>
                <w:b/>
                <w:color w:val="000000" w:themeColor="text1"/>
                <w:sz w:val="21"/>
                <w:szCs w:val="21"/>
              </w:rPr>
              <w:t>酒店人力资源管理</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color w:val="000000" w:themeColor="text1"/>
                <w:sz w:val="21"/>
                <w:szCs w:val="21"/>
              </w:rPr>
            </w:pPr>
            <w:r>
              <w:rPr>
                <w:rFonts w:ascii="Times New Roman" w:cs="Times New Roman"/>
                <w:b/>
                <w:color w:val="000000" w:themeColor="text1"/>
                <w:sz w:val="21"/>
                <w:szCs w:val="21"/>
              </w:rPr>
              <w:t>酒店房务管理</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54/18</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color w:val="000000" w:themeColor="text1"/>
                <w:sz w:val="21"/>
                <w:szCs w:val="21"/>
              </w:rPr>
            </w:pPr>
            <w:r>
              <w:rPr>
                <w:rFonts w:ascii="Times New Roman" w:cs="Times New Roman"/>
                <w:b/>
                <w:color w:val="000000" w:themeColor="text1"/>
                <w:sz w:val="21"/>
                <w:szCs w:val="21"/>
              </w:rPr>
              <w:t>餐饮管理</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54/18</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b/>
                <w:color w:val="000000" w:themeColor="text1"/>
                <w:sz w:val="21"/>
                <w:szCs w:val="21"/>
              </w:rPr>
            </w:pPr>
            <w:r>
              <w:rPr>
                <w:rFonts w:ascii="Times New Roman" w:cs="Times New Roman"/>
                <w:b/>
                <w:color w:val="000000" w:themeColor="text1"/>
                <w:sz w:val="21"/>
                <w:szCs w:val="21"/>
              </w:rPr>
              <w:t>统计</w:t>
            </w:r>
            <w:r>
              <w:rPr>
                <w:rFonts w:hint="eastAsia" w:ascii="Times New Roman" w:cs="Times New Roman"/>
                <w:b/>
                <w:color w:val="000000" w:themeColor="text1"/>
                <w:sz w:val="21"/>
                <w:szCs w:val="21"/>
              </w:rPr>
              <w:t>分析</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专业必修课程小计</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24</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432</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4</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6</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11</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课程</w:t>
            </w:r>
          </w:p>
          <w:p>
            <w:pPr>
              <w:rPr>
                <w:rFonts w:ascii="Times New Roman" w:hAnsi="Times New Roman" w:cs="Times New Roman"/>
                <w:sz w:val="21"/>
                <w:szCs w:val="21"/>
              </w:rPr>
            </w:pPr>
            <w:r>
              <w:rPr>
                <w:rFonts w:ascii="Times New Roman" w:cs="Times New Roman"/>
                <w:b/>
                <w:sz w:val="21"/>
                <w:szCs w:val="21"/>
              </w:rPr>
              <w:t>类别</w:t>
            </w:r>
          </w:p>
        </w:tc>
        <w:tc>
          <w:tcPr>
            <w:tcW w:w="3948"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课程名称</w:t>
            </w:r>
          </w:p>
        </w:tc>
        <w:tc>
          <w:tcPr>
            <w:tcW w:w="652"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学分</w:t>
            </w:r>
          </w:p>
        </w:tc>
        <w:tc>
          <w:tcPr>
            <w:tcW w:w="105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学时</w:t>
            </w:r>
          </w:p>
        </w:tc>
        <w:tc>
          <w:tcPr>
            <w:tcW w:w="3306" w:type="dxa"/>
            <w:gridSpan w:val="8"/>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b/>
                <w:sz w:val="21"/>
                <w:szCs w:val="21"/>
              </w:rPr>
              <w:t>开课学期与周学时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652"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056"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1</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3</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5</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6</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7</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b/>
                <w:sz w:val="21"/>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专业</w:t>
            </w:r>
            <w:r>
              <w:rPr>
                <w:rFonts w:ascii="Times New Roman" w:hAnsi="Times New Roman" w:cs="Times New Roman"/>
                <w:sz w:val="21"/>
                <w:szCs w:val="21"/>
              </w:rPr>
              <w:br w:type="textWrapping"/>
            </w:r>
            <w:r>
              <w:rPr>
                <w:rFonts w:ascii="Times New Roman" w:cs="Times New Roman"/>
                <w:sz w:val="21"/>
                <w:szCs w:val="21"/>
              </w:rPr>
              <w:t>选修</w:t>
            </w:r>
            <w:r>
              <w:rPr>
                <w:rFonts w:ascii="Times New Roman" w:hAnsi="Times New Roman" w:cs="Times New Roman"/>
                <w:sz w:val="21"/>
                <w:szCs w:val="21"/>
              </w:rPr>
              <w:br w:type="textWrapping"/>
            </w:r>
            <w:r>
              <w:rPr>
                <w:rFonts w:ascii="Times New Roman" w:cs="Times New Roman"/>
                <w:sz w:val="21"/>
                <w:szCs w:val="21"/>
              </w:rPr>
              <w:t>课程</w:t>
            </w: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酒店管理专业发展前沿</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服务与社交礼仪</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酒店设计与布局</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酒店战略管理</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休闲管理</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酒店跨文化管理</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宴会设计</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旅游地理学</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国际旅游概览</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国际城市会展业概览</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旅游政策法规</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导游业务</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现代服务业管理</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饮食文化概论</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旅游电子商务</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公共营养学</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烹饪工艺基础</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酒品与饮料</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茶艺与茶道</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组织行为学</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研究方法</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供应链管理</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证券投资</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外贸函电</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专业选修课程小计</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504</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5298"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课程教学小计</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147</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2646/129</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实践与实验课程</w:t>
            </w:r>
          </w:p>
        </w:tc>
        <w:tc>
          <w:tcPr>
            <w:tcW w:w="100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学校</w:t>
            </w:r>
            <w:r>
              <w:rPr>
                <w:rFonts w:ascii="Times New Roman" w:hAnsi="Times New Roman" w:cs="Times New Roman"/>
                <w:sz w:val="21"/>
                <w:szCs w:val="21"/>
              </w:rPr>
              <w:br w:type="textWrapping"/>
            </w:r>
            <w:r>
              <w:rPr>
                <w:rFonts w:ascii="Times New Roman" w:cs="Times New Roman"/>
                <w:sz w:val="21"/>
                <w:szCs w:val="21"/>
              </w:rPr>
              <w:t>统一</w:t>
            </w:r>
            <w:r>
              <w:rPr>
                <w:rFonts w:ascii="Times New Roman" w:hAnsi="Times New Roman" w:cs="Times New Roman"/>
                <w:sz w:val="21"/>
                <w:szCs w:val="21"/>
              </w:rPr>
              <w:br w:type="textWrapping"/>
            </w:r>
            <w:r>
              <w:rPr>
                <w:rFonts w:ascii="Times New Roman" w:cs="Times New Roman"/>
                <w:sz w:val="21"/>
                <w:szCs w:val="21"/>
              </w:rPr>
              <w:t>规定</w:t>
            </w:r>
          </w:p>
        </w:tc>
        <w:tc>
          <w:tcPr>
            <w:tcW w:w="293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形势与政策</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009"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293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军事理论与军事训练</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009"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293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毕业实习</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6</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009"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293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毕业论文（设计）</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6</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009"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293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社会实践</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00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专业</w:t>
            </w:r>
            <w:r>
              <w:rPr>
                <w:rFonts w:ascii="Times New Roman" w:hAnsi="Times New Roman" w:cs="Times New Roman"/>
                <w:sz w:val="21"/>
                <w:szCs w:val="21"/>
              </w:rPr>
              <w:br w:type="textWrapping"/>
            </w:r>
            <w:r>
              <w:rPr>
                <w:rFonts w:ascii="Times New Roman" w:cs="Times New Roman"/>
                <w:sz w:val="21"/>
                <w:szCs w:val="21"/>
              </w:rPr>
              <w:t>自行</w:t>
            </w:r>
            <w:r>
              <w:rPr>
                <w:rFonts w:ascii="Times New Roman" w:hAnsi="Times New Roman" w:cs="Times New Roman"/>
                <w:sz w:val="21"/>
                <w:szCs w:val="21"/>
              </w:rPr>
              <w:br w:type="textWrapping"/>
            </w:r>
            <w:r>
              <w:rPr>
                <w:rFonts w:ascii="Times New Roman" w:cs="Times New Roman"/>
                <w:sz w:val="21"/>
                <w:szCs w:val="21"/>
              </w:rPr>
              <w:t>安排</w:t>
            </w:r>
          </w:p>
        </w:tc>
        <w:tc>
          <w:tcPr>
            <w:tcW w:w="293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酒店服务技能实训</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009"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293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酒店督导实训</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1009"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2939"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酒店运营管理实训</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36/36</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1350" w:type="dxa"/>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cs="Times New Roman"/>
                <w:sz w:val="21"/>
                <w:szCs w:val="21"/>
              </w:rPr>
            </w:pPr>
          </w:p>
        </w:tc>
        <w:tc>
          <w:tcPr>
            <w:tcW w:w="394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实践与实验课程小计</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24</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31" w:type="dxa"/>
            <w:bottom w:w="0" w:type="dxa"/>
            <w:right w:w="131" w:type="dxa"/>
          </w:tblCellMar>
        </w:tblPrEx>
        <w:trPr>
          <w:trHeight w:val="318" w:hRule="atLeast"/>
          <w:jc w:val="center"/>
        </w:trPr>
        <w:tc>
          <w:tcPr>
            <w:tcW w:w="5298"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cs="Times New Roman"/>
                <w:sz w:val="21"/>
                <w:szCs w:val="21"/>
              </w:rPr>
              <w:t>所有课程合计</w:t>
            </w:r>
          </w:p>
        </w:tc>
        <w:tc>
          <w:tcPr>
            <w:tcW w:w="65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160</w:t>
            </w:r>
          </w:p>
        </w:tc>
        <w:tc>
          <w:tcPr>
            <w:tcW w:w="1056"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c>
          <w:tcPr>
            <w:tcW w:w="378"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Times New Roman" w:hAnsi="Times New Roman" w:cs="Times New Roman"/>
                <w:sz w:val="21"/>
                <w:szCs w:val="21"/>
              </w:rPr>
            </w:pPr>
            <w:r>
              <w:rPr>
                <w:rFonts w:ascii="Times New Roman" w:hAnsi="Times New Roman" w:cs="Times New Roman"/>
                <w:sz w:val="21"/>
                <w:szCs w:val="21"/>
              </w:rPr>
              <w:t>  </w:t>
            </w:r>
          </w:p>
        </w:tc>
      </w:tr>
    </w:tbl>
    <w:p>
      <w:pPr>
        <w:ind w:left="440" w:leftChars="200" w:right="440" w:rightChars="200"/>
        <w:rPr>
          <w:sz w:val="18"/>
          <w:szCs w:val="18"/>
        </w:rPr>
      </w:pPr>
      <w:r>
        <w:rPr>
          <w:rFonts w:hint="eastAsia"/>
          <w:sz w:val="18"/>
          <w:szCs w:val="18"/>
        </w:rPr>
        <w:t>说明：</w:t>
      </w:r>
      <w:r>
        <w:rPr>
          <w:sz w:val="18"/>
          <w:szCs w:val="18"/>
        </w:rPr>
        <w:t>1.</w:t>
      </w:r>
      <w:r>
        <w:rPr>
          <w:rFonts w:hint="eastAsia"/>
          <w:sz w:val="18"/>
          <w:szCs w:val="18"/>
        </w:rPr>
        <w:t>在</w:t>
      </w:r>
      <w:r>
        <w:rPr>
          <w:sz w:val="18"/>
          <w:szCs w:val="18"/>
        </w:rPr>
        <w:t>“</w:t>
      </w:r>
      <w:r>
        <w:rPr>
          <w:rFonts w:hint="eastAsia"/>
          <w:sz w:val="18"/>
          <w:szCs w:val="18"/>
        </w:rPr>
        <w:t>学时</w:t>
      </w:r>
      <w:r>
        <w:rPr>
          <w:sz w:val="18"/>
          <w:szCs w:val="18"/>
        </w:rPr>
        <w:t>”</w:t>
      </w:r>
      <w:r>
        <w:rPr>
          <w:rFonts w:hint="eastAsia"/>
          <w:sz w:val="18"/>
          <w:szCs w:val="18"/>
        </w:rPr>
        <w:t>栏中，包含实践学时的课程，用</w:t>
      </w:r>
      <w:r>
        <w:rPr>
          <w:sz w:val="18"/>
          <w:szCs w:val="18"/>
        </w:rPr>
        <w:t>“/”</w:t>
      </w:r>
      <w:r>
        <w:rPr>
          <w:rFonts w:hint="eastAsia"/>
          <w:sz w:val="18"/>
          <w:szCs w:val="18"/>
        </w:rPr>
        <w:t>对总学时和实践学时加以区分，</w:t>
      </w:r>
      <w:r>
        <w:rPr>
          <w:sz w:val="18"/>
          <w:szCs w:val="18"/>
        </w:rPr>
        <w:t>“/”</w:t>
      </w:r>
      <w:r>
        <w:rPr>
          <w:rFonts w:hint="eastAsia"/>
          <w:sz w:val="18"/>
          <w:szCs w:val="18"/>
        </w:rPr>
        <w:t>后的数字为实践与实验学时；</w:t>
      </w:r>
      <w:r>
        <w:rPr>
          <w:sz w:val="18"/>
          <w:szCs w:val="18"/>
        </w:rPr>
        <w:t>2. “√”</w:t>
      </w:r>
      <w:r>
        <w:rPr>
          <w:rFonts w:hint="eastAsia"/>
          <w:sz w:val="18"/>
          <w:szCs w:val="18"/>
        </w:rPr>
        <w:t>表示该类课程（教学环节）没有周学时要求，学生按照学分要求在相应学期完成。</w:t>
      </w:r>
    </w:p>
    <w:p>
      <w:pPr>
        <w:spacing w:before="66" w:line="242" w:lineRule="auto"/>
        <w:ind w:right="470"/>
        <w:rPr>
          <w:sz w:val="24"/>
        </w:rPr>
      </w:pPr>
    </w:p>
    <w:p>
      <w:pPr>
        <w:spacing w:line="242" w:lineRule="auto"/>
        <w:rPr>
          <w:sz w:val="24"/>
        </w:rPr>
        <w:sectPr>
          <w:headerReference r:id="rId8" w:type="default"/>
          <w:pgSz w:w="11910" w:h="16840"/>
          <w:pgMar w:top="1680" w:right="660" w:bottom="280" w:left="1200" w:header="1327" w:footer="0" w:gutter="0"/>
          <w:cols w:space="720" w:num="1"/>
        </w:sectPr>
      </w:pPr>
    </w:p>
    <w:p>
      <w:pPr>
        <w:pStyle w:val="7"/>
        <w:rPr>
          <w:rFonts w:ascii="Times New Roman"/>
          <w:sz w:val="20"/>
        </w:rPr>
      </w:pPr>
    </w:p>
    <w:p>
      <w:pPr>
        <w:pStyle w:val="7"/>
        <w:spacing w:before="3" w:after="1"/>
        <w:rPr>
          <w:rFonts w:ascii="Times New Roman"/>
          <w:sz w:val="21"/>
        </w:rPr>
      </w:pPr>
    </w:p>
    <w:tbl>
      <w:tblPr>
        <w:tblStyle w:val="15"/>
        <w:tblW w:w="9573"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54"/>
        <w:gridCol w:w="3459"/>
        <w:gridCol w:w="26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6" w:hRule="atLeast"/>
        </w:trPr>
        <w:tc>
          <w:tcPr>
            <w:tcW w:w="6913" w:type="dxa"/>
            <w:gridSpan w:val="2"/>
          </w:tcPr>
          <w:p>
            <w:pPr>
              <w:pStyle w:val="17"/>
              <w:rPr>
                <w:rFonts w:ascii="Times New Roman"/>
                <w:sz w:val="24"/>
              </w:rPr>
            </w:pPr>
          </w:p>
          <w:p>
            <w:pPr>
              <w:pStyle w:val="17"/>
              <w:spacing w:before="165"/>
              <w:ind w:left="1895"/>
              <w:rPr>
                <w:sz w:val="24"/>
              </w:rPr>
            </w:pPr>
            <w:r>
              <w:rPr>
                <w:sz w:val="24"/>
              </w:rPr>
              <w:t>总体判断拟开设专业是否可行</w:t>
            </w:r>
          </w:p>
        </w:tc>
        <w:tc>
          <w:tcPr>
            <w:tcW w:w="2660" w:type="dxa"/>
          </w:tcPr>
          <w:p>
            <w:pPr>
              <w:pStyle w:val="17"/>
              <w:rPr>
                <w:rFonts w:ascii="Times New Roman"/>
                <w:sz w:val="24"/>
              </w:rPr>
            </w:pPr>
          </w:p>
          <w:p>
            <w:pPr>
              <w:pStyle w:val="17"/>
              <w:tabs>
                <w:tab w:val="left" w:pos="844"/>
              </w:tabs>
              <w:spacing w:before="148"/>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9" w:hRule="atLeast"/>
        </w:trPr>
        <w:tc>
          <w:tcPr>
            <w:tcW w:w="9573" w:type="dxa"/>
            <w:gridSpan w:val="3"/>
          </w:tcPr>
          <w:p>
            <w:pPr>
              <w:pStyle w:val="17"/>
              <w:spacing w:before="112"/>
              <w:ind w:left="107"/>
              <w:rPr>
                <w:sz w:val="24"/>
              </w:rPr>
            </w:pPr>
            <w:r>
              <w:rPr>
                <w:sz w:val="24"/>
              </w:rPr>
              <w:t>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6913" w:type="dxa"/>
            <w:gridSpan w:val="2"/>
          </w:tcPr>
          <w:p>
            <w:pPr>
              <w:pStyle w:val="17"/>
              <w:spacing w:before="3"/>
              <w:rPr>
                <w:rFonts w:ascii="Times New Roman"/>
                <w:sz w:val="21"/>
              </w:rPr>
            </w:pPr>
          </w:p>
          <w:p>
            <w:pPr>
              <w:pStyle w:val="17"/>
              <w:ind w:left="1535"/>
              <w:rPr>
                <w:sz w:val="24"/>
              </w:rPr>
            </w:pPr>
            <w:r>
              <w:rPr>
                <w:sz w:val="24"/>
              </w:rPr>
              <w:t>拟招生人数与人才需求预测是否匹配</w:t>
            </w:r>
          </w:p>
        </w:tc>
        <w:tc>
          <w:tcPr>
            <w:tcW w:w="2660" w:type="dxa"/>
          </w:tcPr>
          <w:p>
            <w:pPr>
              <w:pStyle w:val="17"/>
              <w:spacing w:before="3"/>
              <w:rPr>
                <w:rFonts w:ascii="Times New Roman"/>
                <w:sz w:val="21"/>
              </w:rPr>
            </w:pPr>
          </w:p>
          <w:p>
            <w:pPr>
              <w:pStyle w:val="17"/>
              <w:tabs>
                <w:tab w:val="left" w:pos="844"/>
              </w:tabs>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4" w:type="dxa"/>
            <w:vMerge w:val="restart"/>
          </w:tcPr>
          <w:p>
            <w:pPr>
              <w:pStyle w:val="17"/>
              <w:spacing w:before="9"/>
              <w:rPr>
                <w:rFonts w:ascii="Times New Roman"/>
                <w:sz w:val="29"/>
              </w:rPr>
            </w:pPr>
          </w:p>
          <w:p>
            <w:pPr>
              <w:pStyle w:val="17"/>
              <w:spacing w:line="345" w:lineRule="auto"/>
              <w:ind w:left="525" w:right="276" w:hanging="240"/>
              <w:rPr>
                <w:sz w:val="24"/>
              </w:rPr>
            </w:pPr>
            <w:r>
              <w:rPr>
                <w:sz w:val="24"/>
              </w:rPr>
              <w:t>本专业开设的基本条件是否符合教学质量国家标准</w:t>
            </w:r>
          </w:p>
        </w:tc>
        <w:tc>
          <w:tcPr>
            <w:tcW w:w="3459" w:type="dxa"/>
          </w:tcPr>
          <w:p>
            <w:pPr>
              <w:pStyle w:val="17"/>
              <w:spacing w:before="112"/>
              <w:ind w:left="1247"/>
              <w:rPr>
                <w:sz w:val="24"/>
              </w:rPr>
            </w:pPr>
            <w:r>
              <w:rPr>
                <w:sz w:val="24"/>
              </w:rPr>
              <w:t>教师队伍</w:t>
            </w:r>
          </w:p>
        </w:tc>
        <w:tc>
          <w:tcPr>
            <w:tcW w:w="2660" w:type="dxa"/>
          </w:tcPr>
          <w:p>
            <w:pPr>
              <w:pStyle w:val="17"/>
              <w:tabs>
                <w:tab w:val="left" w:pos="844"/>
              </w:tabs>
              <w:spacing w:before="112"/>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3454" w:type="dxa"/>
            <w:vMerge w:val="continue"/>
            <w:tcBorders>
              <w:top w:val="nil"/>
            </w:tcBorders>
          </w:tcPr>
          <w:p>
            <w:pPr>
              <w:rPr>
                <w:sz w:val="2"/>
                <w:szCs w:val="2"/>
              </w:rPr>
            </w:pPr>
          </w:p>
        </w:tc>
        <w:tc>
          <w:tcPr>
            <w:tcW w:w="3459" w:type="dxa"/>
          </w:tcPr>
          <w:p>
            <w:pPr>
              <w:pStyle w:val="17"/>
              <w:spacing w:before="112" w:line="306" w:lineRule="exact"/>
              <w:ind w:left="1247"/>
              <w:rPr>
                <w:sz w:val="24"/>
              </w:rPr>
            </w:pPr>
            <w:r>
              <w:rPr>
                <w:sz w:val="24"/>
              </w:rPr>
              <w:t>实践条件</w:t>
            </w:r>
          </w:p>
        </w:tc>
        <w:tc>
          <w:tcPr>
            <w:tcW w:w="2660" w:type="dxa"/>
          </w:tcPr>
          <w:p>
            <w:pPr>
              <w:pStyle w:val="17"/>
              <w:tabs>
                <w:tab w:val="left" w:pos="844"/>
              </w:tabs>
              <w:spacing w:before="112" w:line="306" w:lineRule="exact"/>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4" w:type="dxa"/>
            <w:vMerge w:val="continue"/>
            <w:tcBorders>
              <w:top w:val="nil"/>
            </w:tcBorders>
          </w:tcPr>
          <w:p>
            <w:pPr>
              <w:rPr>
                <w:sz w:val="2"/>
                <w:szCs w:val="2"/>
              </w:rPr>
            </w:pPr>
          </w:p>
        </w:tc>
        <w:tc>
          <w:tcPr>
            <w:tcW w:w="3459" w:type="dxa"/>
          </w:tcPr>
          <w:p>
            <w:pPr>
              <w:pStyle w:val="17"/>
              <w:spacing w:before="113"/>
              <w:ind w:left="1247"/>
              <w:rPr>
                <w:sz w:val="24"/>
              </w:rPr>
            </w:pPr>
            <w:r>
              <w:rPr>
                <w:sz w:val="24"/>
              </w:rPr>
              <w:t>经费保障</w:t>
            </w:r>
          </w:p>
        </w:tc>
        <w:tc>
          <w:tcPr>
            <w:tcW w:w="2660" w:type="dxa"/>
          </w:tcPr>
          <w:p>
            <w:pPr>
              <w:pStyle w:val="17"/>
              <w:tabs>
                <w:tab w:val="left" w:pos="844"/>
              </w:tabs>
              <w:spacing w:before="113"/>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9573" w:type="dxa"/>
            <w:gridSpan w:val="3"/>
          </w:tcPr>
          <w:p>
            <w:pPr>
              <w:pStyle w:val="17"/>
              <w:spacing w:line="362" w:lineRule="exact"/>
              <w:ind w:left="107"/>
              <w:rPr>
                <w:rFonts w:ascii="Microsoft JhengHei" w:eastAsia="Microsoft JhengHei"/>
                <w:b/>
                <w:sz w:val="24"/>
              </w:rPr>
            </w:pPr>
            <w:r>
              <w:rPr>
                <w:rFonts w:hint="eastAsia" w:ascii="Microsoft JhengHei" w:eastAsia="Microsoft JhengHei"/>
                <w:b/>
                <w:sz w:val="24"/>
              </w:rPr>
              <w:t>专家签字：</w:t>
            </w:r>
          </w:p>
        </w:tc>
      </w:tr>
    </w:tbl>
    <w:p>
      <w:pPr>
        <w:spacing w:line="362" w:lineRule="exact"/>
        <w:rPr>
          <w:rFonts w:ascii="Microsoft JhengHei" w:eastAsia="Microsoft JhengHei"/>
          <w:sz w:val="24"/>
        </w:rPr>
        <w:sectPr>
          <w:headerReference r:id="rId9" w:type="default"/>
          <w:pgSz w:w="11910" w:h="16840"/>
          <w:pgMar w:top="1680" w:right="660" w:bottom="280" w:left="1200" w:header="1320" w:footer="0" w:gutter="0"/>
          <w:cols w:space="720" w:num="1"/>
        </w:sectPr>
      </w:pPr>
    </w:p>
    <w:p>
      <w:pPr>
        <w:pStyle w:val="7"/>
        <w:rPr>
          <w:rFonts w:ascii="Times New Roman"/>
          <w:sz w:val="20"/>
        </w:rPr>
      </w:pPr>
    </w:p>
    <w:p>
      <w:pPr>
        <w:pStyle w:val="7"/>
        <w:spacing w:before="4"/>
        <w:rPr>
          <w:rFonts w:ascii="Times New Roman"/>
          <w:sz w:val="26"/>
        </w:rPr>
      </w:pPr>
    </w:p>
    <w:p>
      <w:pPr>
        <w:spacing w:before="67"/>
        <w:ind w:left="218"/>
        <w:rPr>
          <w:sz w:val="24"/>
        </w:rPr>
      </w:pPr>
      <w:r>
        <w:pict>
          <v:group id="_x0000_s1026" o:spid="_x0000_s1026" o:spt="203" style="position:absolute;left:0pt;margin-left:65.3pt;margin-top:-2.9pt;height:593.15pt;width:479.15pt;mso-position-horizontal-relative:page;z-index:-253508608;mso-width-relative:page;mso-height-relative:page;" coordorigin="1306,-58" coordsize="9583,11863">
            <o:lock v:ext="edit"/>
            <v:rect id="_x0000_s1034" o:spid="_x0000_s1034" o:spt="1" style="position:absolute;left:1306;top:-58;height:10;width:10;" fillcolor="#000000" filled="t" stroked="f" coordsize="21600,21600">
              <v:path/>
              <v:fill on="t" focussize="0,0"/>
              <v:stroke on="f"/>
              <v:imagedata o:title=""/>
              <o:lock v:ext="edit"/>
            </v:rect>
            <v:line id="_x0000_s1033" o:spid="_x0000_s1033" o:spt="20" style="position:absolute;left:1316;top:-53;height:0;width:9563;" coordsize="21600,21600">
              <v:path arrowok="t"/>
              <v:fill focussize="0,0"/>
              <v:stroke weight="0.48pt"/>
              <v:imagedata o:title=""/>
              <o:lock v:ext="edit"/>
            </v:line>
            <v:rect id="_x0000_s1032" o:spid="_x0000_s1032" o:spt="1" style="position:absolute;left:10879;top:-58;height:10;width:10;" fillcolor="#000000" filled="t" stroked="f" coordsize="21600,21600">
              <v:path/>
              <v:fill on="t" focussize="0,0"/>
              <v:stroke on="f"/>
              <v:imagedata o:title=""/>
              <o:lock v:ext="edit"/>
            </v:rect>
            <v:line id="_x0000_s1031" o:spid="_x0000_s1031" o:spt="20" style="position:absolute;left:1311;top:-48;height:11843;width:0;" coordsize="21600,21600">
              <v:path arrowok="t"/>
              <v:fill focussize="0,0"/>
              <v:stroke weight="0.48pt"/>
              <v:imagedata o:title=""/>
              <o:lock v:ext="edit"/>
            </v:line>
            <v:rect id="_x0000_s1030" o:spid="_x0000_s1030" o:spt="1" style="position:absolute;left:1306;top:11795;height:10;width:10;" fillcolor="#000000" filled="t" stroked="f" coordsize="21600,21600">
              <v:path/>
              <v:fill on="t" focussize="0,0"/>
              <v:stroke on="f"/>
              <v:imagedata o:title=""/>
              <o:lock v:ext="edit"/>
            </v:rect>
            <v:line id="_x0000_s1029" o:spid="_x0000_s1029" o:spt="20" style="position:absolute;left:1316;top:11800;height:0;width:9563;" coordsize="21600,21600">
              <v:path arrowok="t"/>
              <v:fill focussize="0,0"/>
              <v:stroke weight="0.48pt"/>
              <v:imagedata o:title=""/>
              <o:lock v:ext="edit"/>
            </v:line>
            <v:line id="_x0000_s1028" o:spid="_x0000_s1028" o:spt="20" style="position:absolute;left:10884;top:-48;height:11843;width:0;" coordsize="21600,21600">
              <v:path arrowok="t"/>
              <v:fill focussize="0,0"/>
              <v:stroke weight="0.48pt"/>
              <v:imagedata o:title=""/>
              <o:lock v:ext="edit"/>
            </v:line>
            <v:rect id="_x0000_s1027" o:spid="_x0000_s1027" o:spt="1" style="position:absolute;left:10879;top:11795;height:10;width:10;" fillcolor="#000000" filled="t" stroked="f" coordsize="21600,21600">
              <v:path/>
              <v:fill on="t" focussize="0,0"/>
              <v:stroke on="f"/>
              <v:imagedata o:title=""/>
              <o:lock v:ext="edit"/>
            </v:rect>
          </v:group>
        </w:pict>
      </w:r>
      <w:r>
        <w:rPr>
          <w:sz w:val="24"/>
        </w:rPr>
        <w:t>（应出具省级卫生部门、公安部门对增设专业意见的公函并加盖公章）</w:t>
      </w:r>
    </w:p>
    <w:sectPr>
      <w:headerReference r:id="rId10" w:type="default"/>
      <w:pgSz w:w="11910" w:h="16840"/>
      <w:pgMar w:top="1680" w:right="660" w:bottom="280" w:left="1200" w:header="132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_x0000_s2056" o:spid="_x0000_s2056" o:spt="202" type="#_x0000_t202" style="position:absolute;left:0pt;margin-left:204.35pt;margin-top:69.45pt;height:20pt;width:200.8pt;mso-position-horizontal-relative:page;mso-position-vertical-relative:page;z-index:-253510656;mso-width-relative:page;mso-height-relative:page;" filled="f" stroked="f" coordsize="21600,21600">
          <v:path/>
          <v:fill on="f" focussize="0,0"/>
          <v:stroke on="f" joinstyle="miter"/>
          <v:imagedata o:title=""/>
          <o:lock v:ext="edit"/>
          <v:textbox inset="0mm,0mm,0mm,0mm">
            <w:txbxContent>
              <w:p>
                <w:pPr>
                  <w:spacing w:line="400" w:lineRule="exact"/>
                  <w:ind w:left="20"/>
                  <w:rPr>
                    <w:rFonts w:ascii="黑体" w:eastAsia="黑体"/>
                    <w:b/>
                    <w:sz w:val="36"/>
                  </w:rPr>
                </w:pPr>
                <w:r>
                  <w:rPr>
                    <w:rFonts w:hint="eastAsia" w:ascii="黑体" w:eastAsia="黑体"/>
                    <w:b/>
                    <w:sz w:val="36"/>
                  </w:rPr>
                  <w:t>3.申报专业人才需求情况</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_x0000_s2055" o:spid="_x0000_s2055" o:spt="202" type="#_x0000_t202" style="position:absolute;left:0pt;margin-left:204.75pt;margin-top:69.45pt;height:20pt;width:200.05pt;mso-position-horizontal-relative:page;mso-position-vertical-relative:page;z-index:-253509632;mso-width-relative:page;mso-height-relative:page;" filled="f" stroked="f" coordsize="21600,21600">
          <v:path/>
          <v:fill on="f" focussize="0,0"/>
          <v:stroke on="f" joinstyle="miter"/>
          <v:imagedata o:title=""/>
          <o:lock v:ext="edit"/>
          <v:textbox inset="0mm,0mm,0mm,0mm">
            <w:txbxContent>
              <w:p>
                <w:pPr>
                  <w:pStyle w:val="7"/>
                  <w:spacing w:line="400" w:lineRule="exact"/>
                  <w:ind w:left="20"/>
                </w:pPr>
                <w:r>
                  <w:t>4.教师及课程基本情况表</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_x0000_s2054" o:spid="_x0000_s2054" o:spt="202" type="#_x0000_t202" style="position:absolute;left:0pt;margin-left:213.75pt;margin-top:69.45pt;height:20pt;width:182pt;mso-position-horizontal-relative:page;mso-position-vertical-relative:page;z-index:-253508608;mso-width-relative:page;mso-height-relative:page;" filled="f" stroked="f" coordsize="21600,21600">
          <v:path/>
          <v:fill on="f" focussize="0,0"/>
          <v:stroke on="f" joinstyle="miter"/>
          <v:imagedata o:title=""/>
          <o:lock v:ext="edit"/>
          <v:textbox inset="0mm,0mm,0mm,0mm">
            <w:txbxContent>
              <w:p>
                <w:pPr>
                  <w:pStyle w:val="7"/>
                  <w:spacing w:line="400" w:lineRule="exact"/>
                  <w:ind w:left="20"/>
                </w:pPr>
                <w:r>
                  <w:t>5.专业主要带头人简介</w:t>
                </w:r>
              </w:p>
            </w:txbxContent>
          </v:textbox>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_x0000_s2053" o:spid="_x0000_s2053" o:spt="202" type="#_x0000_t202" style="position:absolute;left:0pt;margin-left:231.75pt;margin-top:69.45pt;height:20pt;width:146pt;mso-position-horizontal-relative:page;mso-position-vertical-relative:page;z-index:-253507584;mso-width-relative:page;mso-height-relative:page;" filled="f" stroked="f" coordsize="21600,21600">
          <v:path/>
          <v:fill on="f" focussize="0,0"/>
          <v:stroke on="f" joinstyle="miter"/>
          <v:imagedata o:title=""/>
          <o:lock v:ext="edit"/>
          <v:textbox inset="0mm,0mm,0mm,0mm">
            <w:txbxContent>
              <w:p>
                <w:pPr>
                  <w:pStyle w:val="7"/>
                  <w:spacing w:line="400" w:lineRule="exact"/>
                  <w:ind w:left="20"/>
                </w:pPr>
                <w:r>
                  <w:t>6.教学条件情况表</w:t>
                </w:r>
              </w:p>
            </w:txbxContent>
          </v:textbox>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_x0000_s2052" o:spid="_x0000_s2052" o:spt="202" type="#_x0000_t202" style="position:absolute;left:0pt;margin-left:186.75pt;margin-top:69.45pt;height:20pt;width:236pt;mso-position-horizontal-relative:page;mso-position-vertical-relative:page;z-index:-253506560;mso-width-relative:page;mso-height-relative:page;" filled="f" stroked="f" coordsize="21600,21600">
          <v:path/>
          <v:fill on="f" focussize="0,0"/>
          <v:stroke on="f" joinstyle="miter"/>
          <v:imagedata o:title=""/>
          <o:lock v:ext="edit"/>
          <v:textbox inset="0mm,0mm,0mm,0mm">
            <w:txbxContent>
              <w:p>
                <w:pPr>
                  <w:pStyle w:val="7"/>
                  <w:spacing w:line="400" w:lineRule="exact"/>
                  <w:ind w:left="20"/>
                </w:pPr>
                <w:r>
                  <w:t>7.申请增设专业的理由和基础</w:t>
                </w: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_x0000_s2051" o:spid="_x0000_s2051" o:spt="202" type="#_x0000_t202" style="position:absolute;left:0pt;margin-left:186.75pt;margin-top:65.35pt;height:20pt;width:236pt;mso-position-horizontal-relative:page;mso-position-vertical-relative:page;z-index:-253505536;mso-width-relative:page;mso-height-relative:page;" filled="f" stroked="f" coordsize="21600,21600">
          <v:path/>
          <v:fill on="f" focussize="0,0"/>
          <v:stroke on="f" joinstyle="miter"/>
          <v:imagedata o:title=""/>
          <o:lock v:ext="edit"/>
          <v:textbox inset="0mm,0mm,0mm,0mm">
            <w:txbxContent>
              <w:p>
                <w:pPr>
                  <w:pStyle w:val="7"/>
                  <w:spacing w:line="400" w:lineRule="exact"/>
                  <w:ind w:left="20"/>
                </w:pPr>
                <w:r>
                  <w:t>8.申请增设专业人才培养方案</w:t>
                </w:r>
              </w:p>
            </w:txbxContent>
          </v:textbox>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_x0000_s2050" o:spid="_x0000_s2050" o:spt="202" type="#_x0000_t202" style="position:absolute;left:0pt;margin-left:168.7pt;margin-top:65pt;height:20pt;width:272.05pt;mso-position-horizontal-relative:page;mso-position-vertical-relative:page;z-index:-253504512;mso-width-relative:page;mso-height-relative:page;" filled="f" stroked="f" coordsize="21600,21600">
          <v:path/>
          <v:fill on="f" focussize="0,0"/>
          <v:stroke on="f" joinstyle="miter"/>
          <v:imagedata o:title=""/>
          <o:lock v:ext="edit"/>
          <v:textbox inset="0mm,0mm,0mm,0mm">
            <w:txbxContent>
              <w:p>
                <w:pPr>
                  <w:pStyle w:val="7"/>
                  <w:spacing w:line="400" w:lineRule="exact"/>
                  <w:ind w:left="20"/>
                </w:pPr>
                <w:r>
                  <w:t>9.校内专业设置评议专家组意见表</w:t>
                </w:r>
              </w:p>
            </w:txbxContent>
          </v:textbox>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_x0000_s2049" o:spid="_x0000_s2049" o:spt="202" type="#_x0000_t202" style="position:absolute;left:0pt;margin-left:158.25pt;margin-top:65pt;height:20pt;width:299.05pt;mso-position-horizontal-relative:page;mso-position-vertical-relative:page;z-index:-253503488;mso-width-relative:page;mso-height-relative:page;" filled="f" stroked="f" coordsize="21600,21600">
          <v:path/>
          <v:fill on="f" focussize="0,0"/>
          <v:stroke on="f" joinstyle="miter"/>
          <v:imagedata o:title=""/>
          <o:lock v:ext="edit"/>
          <v:textbox inset="0mm,0mm,0mm,0mm">
            <w:txbxContent>
              <w:p>
                <w:pPr>
                  <w:pStyle w:val="7"/>
                  <w:spacing w:line="400" w:lineRule="exact"/>
                  <w:ind w:left="20"/>
                </w:pPr>
                <w:r>
                  <w:t>10.医学类、公安类专业相关部门意见</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0BE7C1"/>
    <w:multiLevelType w:val="singleLevel"/>
    <w:tmpl w:val="960BE7C1"/>
    <w:lvl w:ilvl="0" w:tentative="0">
      <w:start w:val="1"/>
      <w:numFmt w:val="decimal"/>
      <w:suff w:val="space"/>
      <w:lvlText w:val="%1."/>
      <w:lvlJc w:val="left"/>
    </w:lvl>
  </w:abstractNum>
  <w:abstractNum w:abstractNumId="1">
    <w:nsid w:val="10734720"/>
    <w:multiLevelType w:val="multilevel"/>
    <w:tmpl w:val="10734720"/>
    <w:lvl w:ilvl="0" w:tentative="0">
      <w:start w:val="1"/>
      <w:numFmt w:val="decimal"/>
      <w:lvlText w:val="%1."/>
      <w:lvlJc w:val="left"/>
      <w:pPr>
        <w:ind w:left="3995" w:hanging="361"/>
        <w:jc w:val="right"/>
      </w:pPr>
      <w:rPr>
        <w:rFonts w:hint="default" w:ascii="黑体" w:hAnsi="黑体" w:eastAsia="黑体" w:cs="黑体"/>
        <w:w w:val="100"/>
        <w:sz w:val="34"/>
        <w:szCs w:val="34"/>
        <w:lang w:val="zh-CN" w:eastAsia="zh-CN" w:bidi="zh-CN"/>
      </w:rPr>
    </w:lvl>
    <w:lvl w:ilvl="1" w:tentative="0">
      <w:start w:val="0"/>
      <w:numFmt w:val="bullet"/>
      <w:lvlText w:val="•"/>
      <w:lvlJc w:val="left"/>
      <w:pPr>
        <w:ind w:left="4604" w:hanging="361"/>
      </w:pPr>
      <w:rPr>
        <w:rFonts w:hint="default"/>
        <w:lang w:val="zh-CN" w:eastAsia="zh-CN" w:bidi="zh-CN"/>
      </w:rPr>
    </w:lvl>
    <w:lvl w:ilvl="2" w:tentative="0">
      <w:start w:val="0"/>
      <w:numFmt w:val="bullet"/>
      <w:lvlText w:val="•"/>
      <w:lvlJc w:val="left"/>
      <w:pPr>
        <w:ind w:left="5209" w:hanging="361"/>
      </w:pPr>
      <w:rPr>
        <w:rFonts w:hint="default"/>
        <w:lang w:val="zh-CN" w:eastAsia="zh-CN" w:bidi="zh-CN"/>
      </w:rPr>
    </w:lvl>
    <w:lvl w:ilvl="3" w:tentative="0">
      <w:start w:val="0"/>
      <w:numFmt w:val="bullet"/>
      <w:lvlText w:val="•"/>
      <w:lvlJc w:val="left"/>
      <w:pPr>
        <w:ind w:left="5813" w:hanging="361"/>
      </w:pPr>
      <w:rPr>
        <w:rFonts w:hint="default"/>
        <w:lang w:val="zh-CN" w:eastAsia="zh-CN" w:bidi="zh-CN"/>
      </w:rPr>
    </w:lvl>
    <w:lvl w:ilvl="4" w:tentative="0">
      <w:start w:val="0"/>
      <w:numFmt w:val="bullet"/>
      <w:lvlText w:val="•"/>
      <w:lvlJc w:val="left"/>
      <w:pPr>
        <w:ind w:left="6418" w:hanging="361"/>
      </w:pPr>
      <w:rPr>
        <w:rFonts w:hint="default"/>
        <w:lang w:val="zh-CN" w:eastAsia="zh-CN" w:bidi="zh-CN"/>
      </w:rPr>
    </w:lvl>
    <w:lvl w:ilvl="5" w:tentative="0">
      <w:start w:val="0"/>
      <w:numFmt w:val="bullet"/>
      <w:lvlText w:val="•"/>
      <w:lvlJc w:val="left"/>
      <w:pPr>
        <w:ind w:left="7023" w:hanging="361"/>
      </w:pPr>
      <w:rPr>
        <w:rFonts w:hint="default"/>
        <w:lang w:val="zh-CN" w:eastAsia="zh-CN" w:bidi="zh-CN"/>
      </w:rPr>
    </w:lvl>
    <w:lvl w:ilvl="6" w:tentative="0">
      <w:start w:val="0"/>
      <w:numFmt w:val="bullet"/>
      <w:lvlText w:val="•"/>
      <w:lvlJc w:val="left"/>
      <w:pPr>
        <w:ind w:left="7627" w:hanging="361"/>
      </w:pPr>
      <w:rPr>
        <w:rFonts w:hint="default"/>
        <w:lang w:val="zh-CN" w:eastAsia="zh-CN" w:bidi="zh-CN"/>
      </w:rPr>
    </w:lvl>
    <w:lvl w:ilvl="7" w:tentative="0">
      <w:start w:val="0"/>
      <w:numFmt w:val="bullet"/>
      <w:lvlText w:val="•"/>
      <w:lvlJc w:val="left"/>
      <w:pPr>
        <w:ind w:left="8232" w:hanging="361"/>
      </w:pPr>
      <w:rPr>
        <w:rFonts w:hint="default"/>
        <w:lang w:val="zh-CN" w:eastAsia="zh-CN" w:bidi="zh-CN"/>
      </w:rPr>
    </w:lvl>
    <w:lvl w:ilvl="8" w:tentative="0">
      <w:start w:val="0"/>
      <w:numFmt w:val="bullet"/>
      <w:lvlText w:val="•"/>
      <w:lvlJc w:val="left"/>
      <w:pPr>
        <w:ind w:left="8837" w:hanging="361"/>
      </w:pPr>
      <w:rPr>
        <w:rFonts w:hint="default"/>
        <w:lang w:val="zh-CN" w:eastAsia="zh-CN" w:bidi="zh-CN"/>
      </w:rPr>
    </w:lvl>
  </w:abstractNum>
  <w:abstractNum w:abstractNumId="2">
    <w:nsid w:val="54517A6D"/>
    <w:multiLevelType w:val="multilevel"/>
    <w:tmpl w:val="54517A6D"/>
    <w:lvl w:ilvl="0" w:tentative="0">
      <w:start w:val="4"/>
      <w:numFmt w:val="decimal"/>
      <w:lvlText w:val="%1"/>
      <w:lvlJc w:val="left"/>
      <w:pPr>
        <w:ind w:left="713" w:hanging="495"/>
      </w:pPr>
      <w:rPr>
        <w:rFonts w:hint="default"/>
        <w:lang w:val="zh-CN" w:eastAsia="zh-CN" w:bidi="zh-CN"/>
      </w:rPr>
    </w:lvl>
    <w:lvl w:ilvl="1" w:tentative="0">
      <w:start w:val="1"/>
      <w:numFmt w:val="decimal"/>
      <w:lvlText w:val="%1.%2"/>
      <w:lvlJc w:val="left"/>
      <w:pPr>
        <w:ind w:left="713" w:hanging="495"/>
      </w:pPr>
      <w:rPr>
        <w:rFonts w:hint="default" w:ascii="Microsoft JhengHei" w:hAnsi="Microsoft JhengHei" w:eastAsia="Microsoft JhengHei" w:cs="Microsoft JhengHei"/>
        <w:b/>
        <w:bCs/>
        <w:spacing w:val="0"/>
        <w:w w:val="104"/>
        <w:sz w:val="28"/>
        <w:szCs w:val="28"/>
        <w:lang w:val="zh-CN" w:eastAsia="zh-CN" w:bidi="zh-CN"/>
      </w:rPr>
    </w:lvl>
    <w:lvl w:ilvl="2" w:tentative="0">
      <w:start w:val="0"/>
      <w:numFmt w:val="bullet"/>
      <w:lvlText w:val="•"/>
      <w:lvlJc w:val="left"/>
      <w:pPr>
        <w:ind w:left="2585" w:hanging="495"/>
      </w:pPr>
      <w:rPr>
        <w:rFonts w:hint="default"/>
        <w:lang w:val="zh-CN" w:eastAsia="zh-CN" w:bidi="zh-CN"/>
      </w:rPr>
    </w:lvl>
    <w:lvl w:ilvl="3" w:tentative="0">
      <w:start w:val="0"/>
      <w:numFmt w:val="bullet"/>
      <w:lvlText w:val="•"/>
      <w:lvlJc w:val="left"/>
      <w:pPr>
        <w:ind w:left="3517" w:hanging="495"/>
      </w:pPr>
      <w:rPr>
        <w:rFonts w:hint="default"/>
        <w:lang w:val="zh-CN" w:eastAsia="zh-CN" w:bidi="zh-CN"/>
      </w:rPr>
    </w:lvl>
    <w:lvl w:ilvl="4" w:tentative="0">
      <w:start w:val="0"/>
      <w:numFmt w:val="bullet"/>
      <w:lvlText w:val="•"/>
      <w:lvlJc w:val="left"/>
      <w:pPr>
        <w:ind w:left="4450" w:hanging="495"/>
      </w:pPr>
      <w:rPr>
        <w:rFonts w:hint="default"/>
        <w:lang w:val="zh-CN" w:eastAsia="zh-CN" w:bidi="zh-CN"/>
      </w:rPr>
    </w:lvl>
    <w:lvl w:ilvl="5" w:tentative="0">
      <w:start w:val="0"/>
      <w:numFmt w:val="bullet"/>
      <w:lvlText w:val="•"/>
      <w:lvlJc w:val="left"/>
      <w:pPr>
        <w:ind w:left="5383" w:hanging="495"/>
      </w:pPr>
      <w:rPr>
        <w:rFonts w:hint="default"/>
        <w:lang w:val="zh-CN" w:eastAsia="zh-CN" w:bidi="zh-CN"/>
      </w:rPr>
    </w:lvl>
    <w:lvl w:ilvl="6" w:tentative="0">
      <w:start w:val="0"/>
      <w:numFmt w:val="bullet"/>
      <w:lvlText w:val="•"/>
      <w:lvlJc w:val="left"/>
      <w:pPr>
        <w:ind w:left="6315" w:hanging="495"/>
      </w:pPr>
      <w:rPr>
        <w:rFonts w:hint="default"/>
        <w:lang w:val="zh-CN" w:eastAsia="zh-CN" w:bidi="zh-CN"/>
      </w:rPr>
    </w:lvl>
    <w:lvl w:ilvl="7" w:tentative="0">
      <w:start w:val="0"/>
      <w:numFmt w:val="bullet"/>
      <w:lvlText w:val="•"/>
      <w:lvlJc w:val="left"/>
      <w:pPr>
        <w:ind w:left="7248" w:hanging="495"/>
      </w:pPr>
      <w:rPr>
        <w:rFonts w:hint="default"/>
        <w:lang w:val="zh-CN" w:eastAsia="zh-CN" w:bidi="zh-CN"/>
      </w:rPr>
    </w:lvl>
    <w:lvl w:ilvl="8" w:tentative="0">
      <w:start w:val="0"/>
      <w:numFmt w:val="bullet"/>
      <w:lvlText w:val="•"/>
      <w:lvlJc w:val="left"/>
      <w:pPr>
        <w:ind w:left="8181" w:hanging="495"/>
      </w:pPr>
      <w:rPr>
        <w:rFonts w:hint="default"/>
        <w:lang w:val="zh-CN" w:eastAsia="zh-CN" w:bidi="zh-C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DD7153"/>
    <w:rsid w:val="00033466"/>
    <w:rsid w:val="000634E8"/>
    <w:rsid w:val="000A6D5E"/>
    <w:rsid w:val="000C70D1"/>
    <w:rsid w:val="000D3DA4"/>
    <w:rsid w:val="000F04F2"/>
    <w:rsid w:val="001145C9"/>
    <w:rsid w:val="00117CC8"/>
    <w:rsid w:val="00126282"/>
    <w:rsid w:val="0015473F"/>
    <w:rsid w:val="00155C2C"/>
    <w:rsid w:val="00177616"/>
    <w:rsid w:val="001840F7"/>
    <w:rsid w:val="001B029D"/>
    <w:rsid w:val="00254A4F"/>
    <w:rsid w:val="002918DE"/>
    <w:rsid w:val="00294EF2"/>
    <w:rsid w:val="002A3D4A"/>
    <w:rsid w:val="002C05BB"/>
    <w:rsid w:val="00326321"/>
    <w:rsid w:val="00353408"/>
    <w:rsid w:val="00375A1B"/>
    <w:rsid w:val="00380A6B"/>
    <w:rsid w:val="003909FD"/>
    <w:rsid w:val="003A0BBD"/>
    <w:rsid w:val="003D1301"/>
    <w:rsid w:val="003F540E"/>
    <w:rsid w:val="00405818"/>
    <w:rsid w:val="00405C70"/>
    <w:rsid w:val="004416F8"/>
    <w:rsid w:val="004827F0"/>
    <w:rsid w:val="004B32B5"/>
    <w:rsid w:val="004B7202"/>
    <w:rsid w:val="004E285A"/>
    <w:rsid w:val="004F01D0"/>
    <w:rsid w:val="00512EF2"/>
    <w:rsid w:val="0051697C"/>
    <w:rsid w:val="005268BA"/>
    <w:rsid w:val="00534C3B"/>
    <w:rsid w:val="005501A5"/>
    <w:rsid w:val="00557433"/>
    <w:rsid w:val="0055746A"/>
    <w:rsid w:val="0057608D"/>
    <w:rsid w:val="00576A66"/>
    <w:rsid w:val="005C0522"/>
    <w:rsid w:val="005C761F"/>
    <w:rsid w:val="00617454"/>
    <w:rsid w:val="006254F7"/>
    <w:rsid w:val="00664C8E"/>
    <w:rsid w:val="00667E91"/>
    <w:rsid w:val="006855A0"/>
    <w:rsid w:val="006971C2"/>
    <w:rsid w:val="006A2416"/>
    <w:rsid w:val="006E5070"/>
    <w:rsid w:val="006F1185"/>
    <w:rsid w:val="00712539"/>
    <w:rsid w:val="00716352"/>
    <w:rsid w:val="00717B11"/>
    <w:rsid w:val="007474C3"/>
    <w:rsid w:val="007A19E7"/>
    <w:rsid w:val="007B1350"/>
    <w:rsid w:val="007E287E"/>
    <w:rsid w:val="007E43AF"/>
    <w:rsid w:val="008028D1"/>
    <w:rsid w:val="00807DF7"/>
    <w:rsid w:val="00817B7C"/>
    <w:rsid w:val="0087061C"/>
    <w:rsid w:val="00876C61"/>
    <w:rsid w:val="008771F1"/>
    <w:rsid w:val="008919DC"/>
    <w:rsid w:val="008A6847"/>
    <w:rsid w:val="008B2786"/>
    <w:rsid w:val="008B43DD"/>
    <w:rsid w:val="00922052"/>
    <w:rsid w:val="00936A7C"/>
    <w:rsid w:val="00937BFC"/>
    <w:rsid w:val="009943E4"/>
    <w:rsid w:val="009B719D"/>
    <w:rsid w:val="009E4E9E"/>
    <w:rsid w:val="00A221FD"/>
    <w:rsid w:val="00A42A38"/>
    <w:rsid w:val="00A47040"/>
    <w:rsid w:val="00A57085"/>
    <w:rsid w:val="00A66BF0"/>
    <w:rsid w:val="00A67FAC"/>
    <w:rsid w:val="00A8544B"/>
    <w:rsid w:val="00A904C4"/>
    <w:rsid w:val="00AC01FF"/>
    <w:rsid w:val="00AE1583"/>
    <w:rsid w:val="00AE1850"/>
    <w:rsid w:val="00B1007B"/>
    <w:rsid w:val="00B11EE4"/>
    <w:rsid w:val="00B260DF"/>
    <w:rsid w:val="00B313FB"/>
    <w:rsid w:val="00B31D3D"/>
    <w:rsid w:val="00B33F39"/>
    <w:rsid w:val="00B72B0D"/>
    <w:rsid w:val="00B8095E"/>
    <w:rsid w:val="00B877A8"/>
    <w:rsid w:val="00BA3B6D"/>
    <w:rsid w:val="00BB7CB4"/>
    <w:rsid w:val="00BF6A51"/>
    <w:rsid w:val="00C01CF0"/>
    <w:rsid w:val="00C04B00"/>
    <w:rsid w:val="00C125F6"/>
    <w:rsid w:val="00C12DF6"/>
    <w:rsid w:val="00C31D92"/>
    <w:rsid w:val="00C554F4"/>
    <w:rsid w:val="00C75FD3"/>
    <w:rsid w:val="00CC55FF"/>
    <w:rsid w:val="00D07E34"/>
    <w:rsid w:val="00D5592E"/>
    <w:rsid w:val="00D56216"/>
    <w:rsid w:val="00DD432E"/>
    <w:rsid w:val="00DD7153"/>
    <w:rsid w:val="00DE3274"/>
    <w:rsid w:val="00DF1ED4"/>
    <w:rsid w:val="00E10665"/>
    <w:rsid w:val="00E632C1"/>
    <w:rsid w:val="00E654AC"/>
    <w:rsid w:val="00E668B1"/>
    <w:rsid w:val="00E836F0"/>
    <w:rsid w:val="00EE20E4"/>
    <w:rsid w:val="00F26906"/>
    <w:rsid w:val="00F449E4"/>
    <w:rsid w:val="00FA0840"/>
    <w:rsid w:val="00FB1921"/>
    <w:rsid w:val="00FB27F6"/>
    <w:rsid w:val="00FB39B7"/>
    <w:rsid w:val="00FB7864"/>
    <w:rsid w:val="00FF258C"/>
    <w:rsid w:val="0156245E"/>
    <w:rsid w:val="02765FC6"/>
    <w:rsid w:val="03116FA6"/>
    <w:rsid w:val="038D477D"/>
    <w:rsid w:val="051D41AC"/>
    <w:rsid w:val="05B17A74"/>
    <w:rsid w:val="06B3664F"/>
    <w:rsid w:val="077869EC"/>
    <w:rsid w:val="07B475E6"/>
    <w:rsid w:val="07F83DE9"/>
    <w:rsid w:val="08854775"/>
    <w:rsid w:val="08A31754"/>
    <w:rsid w:val="08DD1610"/>
    <w:rsid w:val="09777E02"/>
    <w:rsid w:val="0AB43733"/>
    <w:rsid w:val="0B050B22"/>
    <w:rsid w:val="0BAC6EEC"/>
    <w:rsid w:val="0BD513E5"/>
    <w:rsid w:val="0C424EF5"/>
    <w:rsid w:val="0CA306D8"/>
    <w:rsid w:val="0D09551C"/>
    <w:rsid w:val="0D0F260D"/>
    <w:rsid w:val="0EE65658"/>
    <w:rsid w:val="0EF5704F"/>
    <w:rsid w:val="0F5D6BE0"/>
    <w:rsid w:val="0FD01C84"/>
    <w:rsid w:val="106E6BAF"/>
    <w:rsid w:val="117A3D18"/>
    <w:rsid w:val="11AC522E"/>
    <w:rsid w:val="11CA2E45"/>
    <w:rsid w:val="12246B73"/>
    <w:rsid w:val="12253E9C"/>
    <w:rsid w:val="124B4CAE"/>
    <w:rsid w:val="12614CC3"/>
    <w:rsid w:val="12A079D3"/>
    <w:rsid w:val="13D20457"/>
    <w:rsid w:val="17814571"/>
    <w:rsid w:val="17B80FD5"/>
    <w:rsid w:val="18353FDD"/>
    <w:rsid w:val="189B7803"/>
    <w:rsid w:val="18DB33D6"/>
    <w:rsid w:val="197C033E"/>
    <w:rsid w:val="19A6541B"/>
    <w:rsid w:val="19E84A65"/>
    <w:rsid w:val="1A9F163A"/>
    <w:rsid w:val="1ADC0816"/>
    <w:rsid w:val="1B4E29DB"/>
    <w:rsid w:val="1BDA76A5"/>
    <w:rsid w:val="1C15405A"/>
    <w:rsid w:val="1CC814F0"/>
    <w:rsid w:val="1DEB5B81"/>
    <w:rsid w:val="1DF46F60"/>
    <w:rsid w:val="1E931A2B"/>
    <w:rsid w:val="1EDA0101"/>
    <w:rsid w:val="1F8875D7"/>
    <w:rsid w:val="1FC50FBD"/>
    <w:rsid w:val="20D12EAF"/>
    <w:rsid w:val="21BB4B0C"/>
    <w:rsid w:val="22B25C81"/>
    <w:rsid w:val="22DB7413"/>
    <w:rsid w:val="235C2606"/>
    <w:rsid w:val="23AA7880"/>
    <w:rsid w:val="23D11A48"/>
    <w:rsid w:val="24692E52"/>
    <w:rsid w:val="249D44DD"/>
    <w:rsid w:val="24BD2B6E"/>
    <w:rsid w:val="24F836EB"/>
    <w:rsid w:val="25BD1A78"/>
    <w:rsid w:val="2610185E"/>
    <w:rsid w:val="265E7298"/>
    <w:rsid w:val="280676CE"/>
    <w:rsid w:val="28966A24"/>
    <w:rsid w:val="296E4ED5"/>
    <w:rsid w:val="29FC4F42"/>
    <w:rsid w:val="2ABE690C"/>
    <w:rsid w:val="2C0D68E0"/>
    <w:rsid w:val="2C235AEC"/>
    <w:rsid w:val="2CB46038"/>
    <w:rsid w:val="2CCC2DA3"/>
    <w:rsid w:val="2CEE3072"/>
    <w:rsid w:val="2D6F2952"/>
    <w:rsid w:val="2EDD5ED9"/>
    <w:rsid w:val="2EE10A58"/>
    <w:rsid w:val="2EF540EA"/>
    <w:rsid w:val="2F7128D1"/>
    <w:rsid w:val="2F855327"/>
    <w:rsid w:val="2FEB7982"/>
    <w:rsid w:val="30062EF8"/>
    <w:rsid w:val="30D90EF9"/>
    <w:rsid w:val="31633713"/>
    <w:rsid w:val="317354C9"/>
    <w:rsid w:val="317D1025"/>
    <w:rsid w:val="32AD58E6"/>
    <w:rsid w:val="3415323F"/>
    <w:rsid w:val="34860114"/>
    <w:rsid w:val="34C552A4"/>
    <w:rsid w:val="34CD1C3E"/>
    <w:rsid w:val="354046DE"/>
    <w:rsid w:val="35530729"/>
    <w:rsid w:val="358B46EA"/>
    <w:rsid w:val="36875176"/>
    <w:rsid w:val="37005716"/>
    <w:rsid w:val="374675CE"/>
    <w:rsid w:val="37F83C0C"/>
    <w:rsid w:val="3984291C"/>
    <w:rsid w:val="3A3D04ED"/>
    <w:rsid w:val="3AAE3E73"/>
    <w:rsid w:val="3AFA10B6"/>
    <w:rsid w:val="3B247AA2"/>
    <w:rsid w:val="3B7F43B8"/>
    <w:rsid w:val="3D086BFA"/>
    <w:rsid w:val="3D823BF7"/>
    <w:rsid w:val="3FF60EDF"/>
    <w:rsid w:val="40687B6B"/>
    <w:rsid w:val="406D4A51"/>
    <w:rsid w:val="40784FFF"/>
    <w:rsid w:val="40845836"/>
    <w:rsid w:val="40B1080E"/>
    <w:rsid w:val="42216CC8"/>
    <w:rsid w:val="42772D4E"/>
    <w:rsid w:val="427D6D6B"/>
    <w:rsid w:val="42CB5C61"/>
    <w:rsid w:val="42E25C94"/>
    <w:rsid w:val="43792A30"/>
    <w:rsid w:val="43A265CC"/>
    <w:rsid w:val="43E33DAB"/>
    <w:rsid w:val="44274E05"/>
    <w:rsid w:val="44625C82"/>
    <w:rsid w:val="45395DEA"/>
    <w:rsid w:val="46282082"/>
    <w:rsid w:val="474509F9"/>
    <w:rsid w:val="480447B3"/>
    <w:rsid w:val="4907429B"/>
    <w:rsid w:val="49322C60"/>
    <w:rsid w:val="49B12D72"/>
    <w:rsid w:val="4AFA20C5"/>
    <w:rsid w:val="4B741ED9"/>
    <w:rsid w:val="4D744793"/>
    <w:rsid w:val="4D9B6D72"/>
    <w:rsid w:val="4DED08B8"/>
    <w:rsid w:val="4E0F5C03"/>
    <w:rsid w:val="4E637446"/>
    <w:rsid w:val="4EDA283B"/>
    <w:rsid w:val="4EE018D3"/>
    <w:rsid w:val="4EF532F2"/>
    <w:rsid w:val="4F6A56A2"/>
    <w:rsid w:val="50CF2702"/>
    <w:rsid w:val="50DE39FD"/>
    <w:rsid w:val="50EF36D3"/>
    <w:rsid w:val="50F76574"/>
    <w:rsid w:val="519E082B"/>
    <w:rsid w:val="51EC5C27"/>
    <w:rsid w:val="51FF2376"/>
    <w:rsid w:val="525C7453"/>
    <w:rsid w:val="528B0992"/>
    <w:rsid w:val="52B97491"/>
    <w:rsid w:val="53272845"/>
    <w:rsid w:val="538370AD"/>
    <w:rsid w:val="55227427"/>
    <w:rsid w:val="552B05E2"/>
    <w:rsid w:val="555D5C10"/>
    <w:rsid w:val="56516965"/>
    <w:rsid w:val="56AC6681"/>
    <w:rsid w:val="56E66CD8"/>
    <w:rsid w:val="581300E4"/>
    <w:rsid w:val="595E576D"/>
    <w:rsid w:val="597E4F96"/>
    <w:rsid w:val="598D7CBD"/>
    <w:rsid w:val="59A3123B"/>
    <w:rsid w:val="5A324F1B"/>
    <w:rsid w:val="5A3A2ED9"/>
    <w:rsid w:val="5A4E4F0F"/>
    <w:rsid w:val="5BB56BF2"/>
    <w:rsid w:val="5D1A7132"/>
    <w:rsid w:val="5DBD2FE0"/>
    <w:rsid w:val="5DDA1CB6"/>
    <w:rsid w:val="5E041969"/>
    <w:rsid w:val="5E6C462B"/>
    <w:rsid w:val="5F2B4DF6"/>
    <w:rsid w:val="602B5529"/>
    <w:rsid w:val="60851796"/>
    <w:rsid w:val="60E07809"/>
    <w:rsid w:val="61266545"/>
    <w:rsid w:val="61B479EB"/>
    <w:rsid w:val="61D82223"/>
    <w:rsid w:val="62165713"/>
    <w:rsid w:val="629563F1"/>
    <w:rsid w:val="62B62F01"/>
    <w:rsid w:val="63872FEA"/>
    <w:rsid w:val="6487690E"/>
    <w:rsid w:val="655846D0"/>
    <w:rsid w:val="65756656"/>
    <w:rsid w:val="670B4EBF"/>
    <w:rsid w:val="6724113F"/>
    <w:rsid w:val="68DE5A7A"/>
    <w:rsid w:val="68EB3B9A"/>
    <w:rsid w:val="693B4322"/>
    <w:rsid w:val="69983ED7"/>
    <w:rsid w:val="69E72098"/>
    <w:rsid w:val="69FE1E99"/>
    <w:rsid w:val="6A042B24"/>
    <w:rsid w:val="6A524EED"/>
    <w:rsid w:val="6A7445BC"/>
    <w:rsid w:val="6AB066E5"/>
    <w:rsid w:val="6C671784"/>
    <w:rsid w:val="6CAF1700"/>
    <w:rsid w:val="6D4A66E6"/>
    <w:rsid w:val="6DA749DF"/>
    <w:rsid w:val="6F1353AC"/>
    <w:rsid w:val="6F56470F"/>
    <w:rsid w:val="6F736007"/>
    <w:rsid w:val="6FA23FF0"/>
    <w:rsid w:val="6FBC7DE7"/>
    <w:rsid w:val="72215A9D"/>
    <w:rsid w:val="724067A4"/>
    <w:rsid w:val="72DF42AC"/>
    <w:rsid w:val="72F12185"/>
    <w:rsid w:val="73660819"/>
    <w:rsid w:val="73952EB3"/>
    <w:rsid w:val="73EC3404"/>
    <w:rsid w:val="75627BAD"/>
    <w:rsid w:val="756C33BB"/>
    <w:rsid w:val="75D10E7C"/>
    <w:rsid w:val="75E0204F"/>
    <w:rsid w:val="76255B11"/>
    <w:rsid w:val="762D7929"/>
    <w:rsid w:val="76F050FF"/>
    <w:rsid w:val="778F03C2"/>
    <w:rsid w:val="78021D55"/>
    <w:rsid w:val="788A0E12"/>
    <w:rsid w:val="79926B18"/>
    <w:rsid w:val="79A80FFC"/>
    <w:rsid w:val="79DD0310"/>
    <w:rsid w:val="7AE276A1"/>
    <w:rsid w:val="7B3B1F67"/>
    <w:rsid w:val="7C29579F"/>
    <w:rsid w:val="7C444FC7"/>
    <w:rsid w:val="7C68156D"/>
    <w:rsid w:val="7C7C456D"/>
    <w:rsid w:val="7EBC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22"/>
    <w:qFormat/>
    <w:uiPriority w:val="9"/>
    <w:pPr>
      <w:keepNext/>
      <w:keepLines/>
      <w:autoSpaceDE/>
      <w:autoSpaceDN/>
      <w:spacing w:before="340" w:after="330" w:line="578" w:lineRule="auto"/>
      <w:jc w:val="both"/>
      <w:outlineLvl w:val="0"/>
    </w:pPr>
    <w:rPr>
      <w:rFonts w:asciiTheme="minorHAnsi" w:hAnsiTheme="minorHAnsi" w:eastAsiaTheme="minorEastAsia" w:cstheme="minorBidi"/>
      <w:b/>
      <w:bCs/>
      <w:kern w:val="44"/>
      <w:sz w:val="44"/>
      <w:szCs w:val="44"/>
      <w:lang w:val="en-US" w:bidi="ar-SA"/>
    </w:rPr>
  </w:style>
  <w:style w:type="paragraph" w:styleId="3">
    <w:name w:val="heading 2"/>
    <w:basedOn w:val="1"/>
    <w:next w:val="1"/>
    <w:link w:val="23"/>
    <w:qFormat/>
    <w:uiPriority w:val="9"/>
    <w:pPr>
      <w:widowControl/>
      <w:autoSpaceDE/>
      <w:autoSpaceDN/>
      <w:spacing w:before="100" w:beforeAutospacing="1" w:after="100" w:afterAutospacing="1"/>
      <w:outlineLvl w:val="1"/>
    </w:pPr>
    <w:rPr>
      <w:b/>
      <w:bCs/>
      <w:sz w:val="36"/>
      <w:szCs w:val="36"/>
      <w:lang w:val="en-US" w:bidi="ar-SA"/>
    </w:rPr>
  </w:style>
  <w:style w:type="paragraph" w:styleId="4">
    <w:name w:val="heading 3"/>
    <w:basedOn w:val="1"/>
    <w:next w:val="1"/>
    <w:link w:val="24"/>
    <w:qFormat/>
    <w:uiPriority w:val="9"/>
    <w:pPr>
      <w:widowControl/>
      <w:autoSpaceDE/>
      <w:autoSpaceDN/>
      <w:spacing w:before="100" w:beforeAutospacing="1" w:after="100" w:afterAutospacing="1"/>
      <w:outlineLvl w:val="2"/>
    </w:pPr>
    <w:rPr>
      <w:b/>
      <w:bCs/>
      <w:sz w:val="27"/>
      <w:szCs w:val="27"/>
      <w:lang w:val="en-US" w:bidi="ar-SA"/>
    </w:rPr>
  </w:style>
  <w:style w:type="paragraph" w:styleId="5">
    <w:name w:val="heading 4"/>
    <w:basedOn w:val="1"/>
    <w:next w:val="1"/>
    <w:link w:val="25"/>
    <w:qFormat/>
    <w:uiPriority w:val="9"/>
    <w:pPr>
      <w:widowControl/>
      <w:autoSpaceDE/>
      <w:autoSpaceDN/>
      <w:spacing w:before="100" w:beforeAutospacing="1" w:after="100" w:afterAutospacing="1"/>
      <w:outlineLvl w:val="3"/>
    </w:pPr>
    <w:rPr>
      <w:b/>
      <w:bCs/>
      <w:sz w:val="24"/>
      <w:szCs w:val="24"/>
      <w:lang w:val="en-US"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18"/>
    <w:semiHidden/>
    <w:unhideWhenUsed/>
    <w:qFormat/>
    <w:uiPriority w:val="99"/>
    <w:rPr>
      <w:sz w:val="18"/>
      <w:szCs w:val="18"/>
    </w:rPr>
  </w:style>
  <w:style w:type="paragraph" w:styleId="7">
    <w:name w:val="Body Text"/>
    <w:basedOn w:val="1"/>
    <w:qFormat/>
    <w:uiPriority w:val="1"/>
    <w:rPr>
      <w:rFonts w:ascii="黑体" w:hAnsi="黑体" w:eastAsia="黑体" w:cs="黑体"/>
      <w:sz w:val="36"/>
      <w:szCs w:val="36"/>
    </w:rPr>
  </w:style>
  <w:style w:type="paragraph" w:styleId="8">
    <w:name w:val="footer"/>
    <w:basedOn w:val="1"/>
    <w:link w:val="20"/>
    <w:semiHidden/>
    <w:unhideWhenUsed/>
    <w:qFormat/>
    <w:uiPriority w:val="99"/>
    <w:pPr>
      <w:tabs>
        <w:tab w:val="center" w:pos="4153"/>
        <w:tab w:val="right" w:pos="8306"/>
      </w:tabs>
      <w:snapToGrid w:val="0"/>
    </w:pPr>
    <w:rPr>
      <w:sz w:val="18"/>
      <w:szCs w:val="18"/>
    </w:rPr>
  </w:style>
  <w:style w:type="paragraph" w:styleId="9">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widowControl/>
      <w:autoSpaceDE/>
      <w:autoSpaceDN/>
      <w:spacing w:before="100" w:beforeAutospacing="1" w:after="100" w:afterAutospacing="1"/>
    </w:pPr>
    <w:rPr>
      <w:sz w:val="24"/>
      <w:szCs w:val="24"/>
      <w:lang w:val="en-US" w:bidi="ar-SA"/>
    </w:rPr>
  </w:style>
  <w:style w:type="character" w:styleId="13">
    <w:name w:val="Strong"/>
    <w:basedOn w:val="12"/>
    <w:qFormat/>
    <w:uiPriority w:val="22"/>
    <w:rPr>
      <w:b/>
      <w:bCs/>
    </w:rPr>
  </w:style>
  <w:style w:type="character" w:styleId="14">
    <w:name w:val="Emphasis"/>
    <w:basedOn w:val="12"/>
    <w:qFormat/>
    <w:uiPriority w:val="20"/>
    <w:rPr>
      <w:color w:val="CC0000"/>
    </w:r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pPr>
      <w:spacing w:before="20"/>
      <w:ind w:left="713" w:hanging="496"/>
    </w:pPr>
  </w:style>
  <w:style w:type="paragraph" w:customStyle="1" w:styleId="17">
    <w:name w:val="Table Paragraph"/>
    <w:basedOn w:val="1"/>
    <w:qFormat/>
    <w:uiPriority w:val="1"/>
  </w:style>
  <w:style w:type="character" w:customStyle="1" w:styleId="18">
    <w:name w:val="文档结构图 字符"/>
    <w:basedOn w:val="12"/>
    <w:link w:val="6"/>
    <w:semiHidden/>
    <w:qFormat/>
    <w:uiPriority w:val="99"/>
    <w:rPr>
      <w:rFonts w:ascii="宋体" w:hAnsi="宋体" w:eastAsia="宋体" w:cs="宋体"/>
      <w:sz w:val="18"/>
      <w:szCs w:val="18"/>
      <w:lang w:val="zh-CN" w:eastAsia="zh-CN" w:bidi="zh-CN"/>
    </w:rPr>
  </w:style>
  <w:style w:type="character" w:customStyle="1" w:styleId="19">
    <w:name w:val="页眉 字符"/>
    <w:basedOn w:val="12"/>
    <w:link w:val="9"/>
    <w:semiHidden/>
    <w:qFormat/>
    <w:uiPriority w:val="99"/>
    <w:rPr>
      <w:rFonts w:ascii="宋体" w:hAnsi="宋体" w:eastAsia="宋体" w:cs="宋体"/>
      <w:sz w:val="18"/>
      <w:szCs w:val="18"/>
      <w:lang w:val="zh-CN" w:eastAsia="zh-CN" w:bidi="zh-CN"/>
    </w:rPr>
  </w:style>
  <w:style w:type="character" w:customStyle="1" w:styleId="20">
    <w:name w:val="页脚 字符"/>
    <w:basedOn w:val="12"/>
    <w:link w:val="8"/>
    <w:semiHidden/>
    <w:qFormat/>
    <w:uiPriority w:val="99"/>
    <w:rPr>
      <w:rFonts w:ascii="宋体" w:hAnsi="宋体" w:eastAsia="宋体" w:cs="宋体"/>
      <w:sz w:val="18"/>
      <w:szCs w:val="18"/>
      <w:lang w:val="zh-CN" w:eastAsia="zh-CN" w:bidi="zh-CN"/>
    </w:rPr>
  </w:style>
  <w:style w:type="character" w:customStyle="1" w:styleId="21">
    <w:name w:val="bjh-p"/>
    <w:basedOn w:val="12"/>
    <w:qFormat/>
    <w:uiPriority w:val="0"/>
  </w:style>
  <w:style w:type="character" w:customStyle="1" w:styleId="22">
    <w:name w:val="标题 1 字符"/>
    <w:basedOn w:val="12"/>
    <w:link w:val="2"/>
    <w:qFormat/>
    <w:uiPriority w:val="9"/>
    <w:rPr>
      <w:b/>
      <w:bCs/>
      <w:kern w:val="44"/>
      <w:sz w:val="44"/>
      <w:szCs w:val="44"/>
      <w:lang w:eastAsia="zh-CN"/>
    </w:rPr>
  </w:style>
  <w:style w:type="character" w:customStyle="1" w:styleId="23">
    <w:name w:val="标题 2 字符"/>
    <w:basedOn w:val="12"/>
    <w:link w:val="3"/>
    <w:qFormat/>
    <w:uiPriority w:val="9"/>
    <w:rPr>
      <w:rFonts w:ascii="宋体" w:hAnsi="宋体" w:eastAsia="宋体" w:cs="宋体"/>
      <w:b/>
      <w:bCs/>
      <w:sz w:val="36"/>
      <w:szCs w:val="36"/>
      <w:lang w:eastAsia="zh-CN"/>
    </w:rPr>
  </w:style>
  <w:style w:type="character" w:customStyle="1" w:styleId="24">
    <w:name w:val="标题 3 字符"/>
    <w:basedOn w:val="12"/>
    <w:link w:val="4"/>
    <w:qFormat/>
    <w:uiPriority w:val="9"/>
    <w:rPr>
      <w:rFonts w:ascii="宋体" w:hAnsi="宋体" w:eastAsia="宋体" w:cs="宋体"/>
      <w:b/>
      <w:bCs/>
      <w:sz w:val="27"/>
      <w:szCs w:val="27"/>
      <w:lang w:eastAsia="zh-CN"/>
    </w:rPr>
  </w:style>
  <w:style w:type="character" w:customStyle="1" w:styleId="25">
    <w:name w:val="标题 4 字符"/>
    <w:basedOn w:val="12"/>
    <w:link w:val="5"/>
    <w:qFormat/>
    <w:uiPriority w:val="9"/>
    <w:rPr>
      <w:rFonts w:ascii="宋体" w:hAnsi="宋体" w:eastAsia="宋体" w:cs="宋体"/>
      <w:b/>
      <w:bCs/>
      <w:sz w:val="24"/>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header" Target="header7.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8.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6"/>
    <customShpInfo spid="_x0000_s2055"/>
    <customShpInfo spid="_x0000_s2054"/>
    <customShpInfo spid="_x0000_s2053"/>
    <customShpInfo spid="_x0000_s2052"/>
    <customShpInfo spid="_x0000_s2051"/>
    <customShpInfo spid="_x0000_s2050"/>
    <customShpInfo spid="_x0000_s2049"/>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50"/>
    <customShpInfo spid="_x0000_s1051"/>
    <customShpInfo spid="_x0000_s1052"/>
    <customShpInfo spid="_x0000_s1053"/>
    <customShpInfo spid="_x0000_s1054"/>
    <customShpInfo spid="_x0000_s1055"/>
    <customShpInfo spid="_x0000_s1049"/>
    <customShpInfo spid="_x0000_s1057"/>
    <customShpInfo spid="_x0000_s1058"/>
    <customShpInfo spid="_x0000_s1059"/>
    <customShpInfo spid="_x0000_s1060"/>
    <customShpInfo spid="_x0000_s1061"/>
    <customShpInfo spid="_x0000_s1062"/>
    <customShpInfo spid="_x0000_s1056"/>
    <customShpInfo spid="_x0000_s1034"/>
    <customShpInfo spid="_x0000_s1033"/>
    <customShpInfo spid="_x0000_s1032"/>
    <customShpInfo spid="_x0000_s1031"/>
    <customShpInfo spid="_x0000_s1030"/>
    <customShpInfo spid="_x0000_s1029"/>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2419</Words>
  <Characters>13789</Characters>
  <Lines>114</Lines>
  <Paragraphs>32</Paragraphs>
  <TotalTime>4</TotalTime>
  <ScaleCrop>false</ScaleCrop>
  <LinksUpToDate>false</LinksUpToDate>
  <CharactersWithSpaces>16176</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2019-06-25T02:25:00Z</dcterms:created>
  <dc:creator>MC SYSTEM</dc:creator>
  <cp:lastModifiedBy>白青</cp:lastModifiedBy>
  <dcterms:modified xsi:type="dcterms:W3CDTF">2020-07-15T11:47:08Z</dcterms:modified>
  <dc:title>普通高等学校本科专业设置管理规定</dc:title>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2052-11.1.0.9828</vt:lpwstr>
  </property>
</Properties>
</file>